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04C8D" w:rsidRPr="00502ECB" w14:paraId="6D1B374A" w14:textId="77777777">
        <w:trPr>
          <w:cantSplit/>
          <w:trHeight w:hRule="exact" w:val="851"/>
        </w:trPr>
        <w:tc>
          <w:tcPr>
            <w:tcW w:w="1276" w:type="dxa"/>
            <w:tcBorders>
              <w:bottom w:val="single" w:sz="4" w:space="0" w:color="auto"/>
            </w:tcBorders>
            <w:vAlign w:val="bottom"/>
          </w:tcPr>
          <w:p w14:paraId="24B0460E" w14:textId="77777777" w:rsidR="000E3ADB" w:rsidRPr="001F7524" w:rsidRDefault="000E3ADB">
            <w:pPr>
              <w:spacing w:after="80"/>
            </w:pPr>
          </w:p>
        </w:tc>
        <w:tc>
          <w:tcPr>
            <w:tcW w:w="2268" w:type="dxa"/>
            <w:tcBorders>
              <w:bottom w:val="single" w:sz="4" w:space="0" w:color="auto"/>
            </w:tcBorders>
            <w:vAlign w:val="bottom"/>
          </w:tcPr>
          <w:p w14:paraId="197C4E32" w14:textId="3438FB5A" w:rsidR="000E3ADB" w:rsidRPr="00502ECB" w:rsidRDefault="000E3ADB">
            <w:pPr>
              <w:spacing w:after="80" w:line="300" w:lineRule="exact"/>
              <w:rPr>
                <w:b/>
                <w:sz w:val="24"/>
                <w:szCs w:val="24"/>
              </w:rPr>
            </w:pPr>
          </w:p>
        </w:tc>
        <w:tc>
          <w:tcPr>
            <w:tcW w:w="6095" w:type="dxa"/>
            <w:gridSpan w:val="2"/>
            <w:tcBorders>
              <w:bottom w:val="single" w:sz="4" w:space="0" w:color="auto"/>
            </w:tcBorders>
            <w:vAlign w:val="bottom"/>
          </w:tcPr>
          <w:p w14:paraId="50D0961A" w14:textId="40EF72C7" w:rsidR="000E3ADB" w:rsidRPr="00502ECB" w:rsidRDefault="00E55439" w:rsidP="00FB63CD">
            <w:pPr>
              <w:suppressAutoHyphens w:val="0"/>
              <w:spacing w:after="20"/>
              <w:jc w:val="right"/>
            </w:pPr>
            <w:r w:rsidRPr="00502ECB">
              <w:rPr>
                <w:sz w:val="40"/>
              </w:rPr>
              <w:t>CRPD</w:t>
            </w:r>
            <w:r w:rsidRPr="00502ECB">
              <w:t>/C/</w:t>
            </w:r>
            <w:r w:rsidR="005937F1" w:rsidRPr="00502ECB">
              <w:t>GEO</w:t>
            </w:r>
            <w:r w:rsidRPr="00502ECB">
              <w:t>/CO/</w:t>
            </w:r>
            <w:r w:rsidR="00057568" w:rsidRPr="00502ECB">
              <w:t>1</w:t>
            </w:r>
          </w:p>
        </w:tc>
      </w:tr>
      <w:tr w:rsidR="00D04C8D" w:rsidRPr="00502ECB" w14:paraId="066777B1" w14:textId="77777777" w:rsidTr="003E1E51">
        <w:trPr>
          <w:cantSplit/>
          <w:trHeight w:hRule="exact" w:val="2835"/>
        </w:trPr>
        <w:tc>
          <w:tcPr>
            <w:tcW w:w="1276" w:type="dxa"/>
            <w:tcBorders>
              <w:top w:val="single" w:sz="4" w:space="0" w:color="auto"/>
              <w:bottom w:val="single" w:sz="12" w:space="0" w:color="auto"/>
            </w:tcBorders>
          </w:tcPr>
          <w:p w14:paraId="4824F58A" w14:textId="090F8CF5" w:rsidR="000E3ADB" w:rsidRPr="00502ECB" w:rsidRDefault="000E3ADB">
            <w:pPr>
              <w:spacing w:before="120"/>
              <w:jc w:val="center"/>
            </w:pPr>
          </w:p>
        </w:tc>
        <w:tc>
          <w:tcPr>
            <w:tcW w:w="5528" w:type="dxa"/>
            <w:gridSpan w:val="2"/>
            <w:tcBorders>
              <w:top w:val="single" w:sz="4" w:space="0" w:color="auto"/>
              <w:bottom w:val="single" w:sz="12" w:space="0" w:color="auto"/>
            </w:tcBorders>
          </w:tcPr>
          <w:p w14:paraId="4CEC7916" w14:textId="2F60EB8B" w:rsidR="000E3ADB" w:rsidRPr="00502ECB" w:rsidRDefault="004317C9">
            <w:pPr>
              <w:spacing w:before="120" w:line="380" w:lineRule="exact"/>
            </w:pPr>
            <w:r>
              <w:rPr>
                <w:b/>
                <w:sz w:val="34"/>
                <w:szCs w:val="40"/>
              </w:rPr>
              <w:t>Advance Unedited Version</w:t>
            </w:r>
          </w:p>
        </w:tc>
        <w:tc>
          <w:tcPr>
            <w:tcW w:w="2835" w:type="dxa"/>
            <w:tcBorders>
              <w:top w:val="single" w:sz="4" w:space="0" w:color="auto"/>
              <w:bottom w:val="single" w:sz="12" w:space="0" w:color="auto"/>
            </w:tcBorders>
          </w:tcPr>
          <w:p w14:paraId="26EE258C" w14:textId="623845D4" w:rsidR="000E3ADB" w:rsidRPr="00502ECB" w:rsidRDefault="00E55439">
            <w:pPr>
              <w:suppressAutoHyphens w:val="0"/>
              <w:spacing w:before="240" w:line="240" w:lineRule="exact"/>
            </w:pPr>
            <w:r w:rsidRPr="00502ECB">
              <w:t xml:space="preserve">Distr.: </w:t>
            </w:r>
            <w:r w:rsidR="008931E4">
              <w:t>General</w:t>
            </w:r>
          </w:p>
          <w:p w14:paraId="19233C8F" w14:textId="4B9FD3C9" w:rsidR="000E3ADB" w:rsidRDefault="008931E4">
            <w:pPr>
              <w:suppressAutoHyphens w:val="0"/>
            </w:pPr>
            <w:r>
              <w:t>2</w:t>
            </w:r>
            <w:r w:rsidR="00444EAA">
              <w:t>4</w:t>
            </w:r>
            <w:r w:rsidR="00C95104" w:rsidRPr="00502ECB">
              <w:t xml:space="preserve"> March 202</w:t>
            </w:r>
            <w:r w:rsidR="00B76E8E" w:rsidRPr="00502ECB">
              <w:t>3</w:t>
            </w:r>
          </w:p>
          <w:p w14:paraId="77D70579" w14:textId="77777777" w:rsidR="000E3ADB" w:rsidRPr="00502ECB" w:rsidRDefault="000E3ADB">
            <w:pPr>
              <w:suppressAutoHyphens w:val="0"/>
            </w:pPr>
          </w:p>
          <w:p w14:paraId="267C376F" w14:textId="633375EA" w:rsidR="000E3ADB" w:rsidRPr="00502ECB" w:rsidRDefault="00E55439" w:rsidP="008931E4">
            <w:pPr>
              <w:suppressAutoHyphens w:val="0"/>
            </w:pPr>
            <w:r w:rsidRPr="00502ECB">
              <w:t>Original: English</w:t>
            </w:r>
          </w:p>
        </w:tc>
      </w:tr>
    </w:tbl>
    <w:p w14:paraId="4A677706" w14:textId="77777777" w:rsidR="000E3ADB" w:rsidRPr="00502ECB" w:rsidRDefault="00E55439">
      <w:pPr>
        <w:spacing w:before="120"/>
        <w:rPr>
          <w:b/>
          <w:sz w:val="24"/>
        </w:rPr>
      </w:pPr>
      <w:r w:rsidRPr="00502ECB">
        <w:rPr>
          <w:b/>
          <w:sz w:val="24"/>
        </w:rPr>
        <w:t>Committee on the Rights of Persons with Disabilities</w:t>
      </w:r>
    </w:p>
    <w:p w14:paraId="09697653" w14:textId="0FE127EE" w:rsidR="000E3ADB" w:rsidRPr="00502ECB" w:rsidRDefault="00E55439">
      <w:pPr>
        <w:pStyle w:val="HChG"/>
      </w:pPr>
      <w:r w:rsidRPr="00502ECB">
        <w:tab/>
      </w:r>
      <w:r w:rsidRPr="00502ECB">
        <w:tab/>
        <w:t xml:space="preserve">Concluding observations on the </w:t>
      </w:r>
      <w:r w:rsidR="00057568" w:rsidRPr="00502ECB">
        <w:t xml:space="preserve">initial report of </w:t>
      </w:r>
      <w:r w:rsidR="005937F1" w:rsidRPr="00502ECB">
        <w:t>Georgia</w:t>
      </w:r>
      <w:r w:rsidR="008931E4" w:rsidRPr="008931E4">
        <w:rPr>
          <w:rFonts w:eastAsia="SimSun"/>
          <w:bCs/>
          <w:sz w:val="20"/>
        </w:rPr>
        <w:footnoteReference w:customMarkFollows="1" w:id="2"/>
        <w:t>*</w:t>
      </w:r>
    </w:p>
    <w:p w14:paraId="0AA5A0F8" w14:textId="6D004C32" w:rsidR="00236198" w:rsidRPr="00502ECB" w:rsidRDefault="00240836" w:rsidP="00B76E8E">
      <w:pPr>
        <w:keepNext/>
        <w:keepLines/>
        <w:tabs>
          <w:tab w:val="right" w:pos="851"/>
        </w:tabs>
        <w:spacing w:before="360" w:after="240" w:line="300" w:lineRule="exact"/>
        <w:ind w:left="1134" w:right="1134" w:hanging="1134"/>
        <w:outlineLvl w:val="1"/>
        <w:rPr>
          <w:rFonts w:eastAsia="SimSun"/>
          <w:b/>
          <w:sz w:val="28"/>
          <w:lang w:eastAsia="zh-CN"/>
        </w:rPr>
      </w:pPr>
      <w:r w:rsidRPr="00502ECB">
        <w:rPr>
          <w:rFonts w:eastAsia="SimSun"/>
          <w:b/>
          <w:sz w:val="28"/>
          <w:lang w:eastAsia="zh-CN"/>
        </w:rPr>
        <w:tab/>
        <w:t>I.</w:t>
      </w:r>
      <w:r w:rsidRPr="00502ECB">
        <w:rPr>
          <w:rFonts w:eastAsia="SimSun"/>
          <w:b/>
          <w:sz w:val="28"/>
          <w:lang w:eastAsia="zh-CN"/>
        </w:rPr>
        <w:tab/>
        <w:t>Introduction</w:t>
      </w:r>
    </w:p>
    <w:p w14:paraId="68B0FF42" w14:textId="705D9ECE" w:rsidR="00236198" w:rsidRPr="00502ECB" w:rsidRDefault="00236198" w:rsidP="008931E4">
      <w:pPr>
        <w:pStyle w:val="SingleTxtG"/>
      </w:pPr>
      <w:r w:rsidRPr="00502ECB">
        <w:t>1.</w:t>
      </w:r>
      <w:r w:rsidRPr="00502ECB">
        <w:tab/>
        <w:t xml:space="preserve">The Committee considered the initial report of </w:t>
      </w:r>
      <w:r w:rsidRPr="00502ECB">
        <w:rPr>
          <w:lang w:eastAsia="ko-KR"/>
        </w:rPr>
        <w:t xml:space="preserve">Georgia </w:t>
      </w:r>
      <w:r w:rsidRPr="00502ECB">
        <w:t>(CRPD/C/GEO/1) at its 628</w:t>
      </w:r>
      <w:r w:rsidRPr="00502ECB">
        <w:rPr>
          <w:vertAlign w:val="superscript"/>
        </w:rPr>
        <w:t>th</w:t>
      </w:r>
      <w:r w:rsidRPr="00502ECB">
        <w:t xml:space="preserve"> and 629</w:t>
      </w:r>
      <w:r w:rsidRPr="00502ECB">
        <w:rPr>
          <w:vertAlign w:val="superscript"/>
        </w:rPr>
        <w:t>th</w:t>
      </w:r>
      <w:r w:rsidRPr="00502ECB">
        <w:t xml:space="preserve"> meetings held on 9 and 10 March 2023.</w:t>
      </w:r>
      <w:r w:rsidRPr="00502ECB">
        <w:rPr>
          <w:lang w:eastAsia="ko-KR"/>
        </w:rPr>
        <w:t xml:space="preserve"> </w:t>
      </w:r>
      <w:r w:rsidRPr="00502ECB">
        <w:t>It adopted the present concluding observations at its 644th meeting, held on 21 March 2023.</w:t>
      </w:r>
    </w:p>
    <w:p w14:paraId="693D6E73" w14:textId="77075BE7" w:rsidR="00236198" w:rsidRPr="00502ECB" w:rsidRDefault="00236198" w:rsidP="008931E4">
      <w:pPr>
        <w:pStyle w:val="SingleTxtG"/>
      </w:pPr>
      <w:r w:rsidRPr="00502ECB">
        <w:t>2.</w:t>
      </w:r>
      <w:r w:rsidRPr="00502ECB">
        <w:tab/>
        <w:t xml:space="preserve">The Committee welcomes the initial report of Georgia, which was prepared in </w:t>
      </w:r>
      <w:r w:rsidRPr="00502ECB">
        <w:rPr>
          <w:rFonts w:eastAsia="Batang"/>
        </w:rPr>
        <w:t>accordance</w:t>
      </w:r>
      <w:r w:rsidRPr="00502ECB">
        <w:t xml:space="preserve"> with the Committee’s reporting guidelines, and thanks the State party for its written replies (CRPD/C/GEO/RQ/1) to the list of issues prepared by the Committee (CRPD/C/GEO/Q/1). </w:t>
      </w:r>
    </w:p>
    <w:p w14:paraId="74C32C0F" w14:textId="0F1F1E60" w:rsidR="00236198" w:rsidRPr="00502ECB" w:rsidRDefault="00236198" w:rsidP="008931E4">
      <w:pPr>
        <w:pStyle w:val="SingleTxtG"/>
        <w:rPr>
          <w:rFonts w:eastAsia="Malgun Gothic"/>
        </w:rPr>
      </w:pPr>
      <w:r w:rsidRPr="00502ECB">
        <w:rPr>
          <w:rFonts w:eastAsia="Malgun Gothic"/>
        </w:rPr>
        <w:t>3.</w:t>
      </w:r>
      <w:r w:rsidRPr="00502ECB">
        <w:rPr>
          <w:rFonts w:eastAsia="Malgun Gothic"/>
        </w:rPr>
        <w:tab/>
        <w:t xml:space="preserve">The Committee expresses its appreciation for the constructive dialogue held </w:t>
      </w:r>
      <w:r w:rsidR="00B76E8E" w:rsidRPr="00502ECB">
        <w:t xml:space="preserve">with the delegation of the State party, which </w:t>
      </w:r>
      <w:r w:rsidR="00631DAC" w:rsidRPr="00502ECB">
        <w:t xml:space="preserve">covered a wide </w:t>
      </w:r>
      <w:r w:rsidR="0012753B" w:rsidRPr="00502ECB">
        <w:t>array</w:t>
      </w:r>
      <w:r w:rsidR="00631DAC" w:rsidRPr="00502ECB">
        <w:t xml:space="preserve"> of issues</w:t>
      </w:r>
      <w:r w:rsidR="00B76E8E" w:rsidRPr="00502ECB">
        <w:t xml:space="preserve"> and included representatives of relevant government ministries</w:t>
      </w:r>
      <w:r w:rsidR="00E35B0C" w:rsidRPr="00502ECB">
        <w:t xml:space="preserve">, members of Parliament and of the </w:t>
      </w:r>
      <w:r w:rsidR="00631DAC" w:rsidRPr="00502ECB">
        <w:t>judiciary</w:t>
      </w:r>
      <w:r w:rsidR="00B76E8E" w:rsidRPr="00502ECB">
        <w:t xml:space="preserve">. The Committee also appreciates the </w:t>
      </w:r>
      <w:r w:rsidR="00631DAC" w:rsidRPr="00502ECB">
        <w:t xml:space="preserve">active </w:t>
      </w:r>
      <w:r w:rsidR="00B76E8E" w:rsidRPr="00502ECB">
        <w:t xml:space="preserve">participation of the Office of the Public Defender of Georgia, in its capacity as National Human Rights Institution and independent monitoring mechanism, pursuant to article 33 (2) of the Convention. </w:t>
      </w:r>
    </w:p>
    <w:p w14:paraId="7E7E2612" w14:textId="04C848FC" w:rsidR="00236198" w:rsidRPr="00502ECB" w:rsidRDefault="00B76E8E" w:rsidP="00B76E8E">
      <w:pPr>
        <w:keepNext/>
        <w:keepLines/>
        <w:tabs>
          <w:tab w:val="right" w:pos="851"/>
        </w:tabs>
        <w:spacing w:before="360" w:after="240" w:line="300" w:lineRule="exact"/>
        <w:ind w:right="1134"/>
        <w:rPr>
          <w:rFonts w:eastAsia="Malgun Gothic"/>
          <w:b/>
          <w:sz w:val="28"/>
        </w:rPr>
      </w:pPr>
      <w:r w:rsidRPr="00502ECB">
        <w:rPr>
          <w:rFonts w:eastAsia="Malgun Gothic"/>
          <w:b/>
          <w:sz w:val="28"/>
        </w:rPr>
        <w:tab/>
      </w:r>
      <w:r w:rsidR="00236198" w:rsidRPr="00502ECB">
        <w:rPr>
          <w:rFonts w:eastAsia="Malgun Gothic"/>
          <w:b/>
          <w:sz w:val="28"/>
        </w:rPr>
        <w:t>II.</w:t>
      </w:r>
      <w:r w:rsidRPr="00502ECB">
        <w:rPr>
          <w:rFonts w:eastAsia="Malgun Gothic"/>
          <w:b/>
          <w:sz w:val="28"/>
        </w:rPr>
        <w:tab/>
      </w:r>
      <w:r w:rsidR="00236198" w:rsidRPr="00502ECB">
        <w:rPr>
          <w:rFonts w:eastAsia="Malgun Gothic"/>
          <w:b/>
          <w:sz w:val="28"/>
        </w:rPr>
        <w:t>Positive aspects</w:t>
      </w:r>
    </w:p>
    <w:p w14:paraId="48876CA9" w14:textId="77777777" w:rsidR="00236198" w:rsidRPr="00502ECB" w:rsidRDefault="00236198" w:rsidP="008931E4">
      <w:pPr>
        <w:pStyle w:val="SingleTxtG"/>
      </w:pPr>
      <w:r w:rsidRPr="00502ECB">
        <w:t>4.</w:t>
      </w:r>
      <w:r w:rsidRPr="00502ECB">
        <w:tab/>
        <w:t>The Committee welcomes the measures taken by the State party to implement the Convention since its ratification in 2014.</w:t>
      </w:r>
    </w:p>
    <w:p w14:paraId="0E606D6F" w14:textId="37DD0EDC" w:rsidR="00236198" w:rsidRPr="00502ECB" w:rsidRDefault="00236198" w:rsidP="008931E4">
      <w:pPr>
        <w:pStyle w:val="SingleTxtG"/>
        <w:rPr>
          <w:rFonts w:eastAsia="Malgun Gothic"/>
        </w:rPr>
      </w:pPr>
      <w:r w:rsidRPr="00502ECB">
        <w:rPr>
          <w:rFonts w:eastAsia="Malgun Gothic"/>
        </w:rPr>
        <w:t>5.</w:t>
      </w:r>
      <w:r w:rsidRPr="00502ECB">
        <w:rPr>
          <w:rFonts w:eastAsia="Malgun Gothic"/>
        </w:rPr>
        <w:tab/>
        <w:t>The Committee welcomes</w:t>
      </w:r>
      <w:r w:rsidR="00631DAC" w:rsidRPr="00502ECB">
        <w:rPr>
          <w:rFonts w:eastAsia="Malgun Gothic"/>
        </w:rPr>
        <w:t xml:space="preserve"> </w:t>
      </w:r>
      <w:proofErr w:type="gramStart"/>
      <w:r w:rsidR="00631DAC" w:rsidRPr="00502ECB">
        <w:rPr>
          <w:rFonts w:eastAsia="Malgun Gothic"/>
        </w:rPr>
        <w:t>in particular</w:t>
      </w:r>
      <w:r w:rsidRPr="00502ECB">
        <w:rPr>
          <w:rFonts w:eastAsia="Malgun Gothic"/>
        </w:rPr>
        <w:t xml:space="preserve"> the</w:t>
      </w:r>
      <w:proofErr w:type="gramEnd"/>
      <w:r w:rsidRPr="00502ECB">
        <w:rPr>
          <w:rFonts w:eastAsia="Malgun Gothic"/>
        </w:rPr>
        <w:t xml:space="preserve"> legislative and policy measures taken to promote the </w:t>
      </w:r>
      <w:r w:rsidRPr="008931E4">
        <w:t>rights</w:t>
      </w:r>
      <w:r w:rsidRPr="00502ECB">
        <w:rPr>
          <w:rFonts w:eastAsia="Malgun Gothic"/>
        </w:rPr>
        <w:t xml:space="preserve"> of persons with disabilities, </w:t>
      </w:r>
      <w:r w:rsidR="00631DAC" w:rsidRPr="00502ECB">
        <w:rPr>
          <w:rFonts w:eastAsia="Malgun Gothic"/>
        </w:rPr>
        <w:t>namely</w:t>
      </w:r>
      <w:r w:rsidRPr="00502ECB">
        <w:rPr>
          <w:rFonts w:eastAsia="Malgun Gothic"/>
        </w:rPr>
        <w:t>:</w:t>
      </w:r>
    </w:p>
    <w:p w14:paraId="2452ED3A" w14:textId="427CE23F" w:rsidR="00236198" w:rsidRPr="008931E4" w:rsidRDefault="00236198" w:rsidP="008931E4">
      <w:pPr>
        <w:pStyle w:val="SingleTxtG"/>
        <w:ind w:firstLine="567"/>
      </w:pPr>
      <w:r w:rsidRPr="00502ECB">
        <w:rPr>
          <w:rFonts w:eastAsia="Malgun Gothic"/>
        </w:rPr>
        <w:t>(a)</w:t>
      </w:r>
      <w:r w:rsidRPr="00502ECB">
        <w:rPr>
          <w:rFonts w:eastAsia="Malgun Gothic"/>
        </w:rPr>
        <w:tab/>
      </w:r>
      <w:r w:rsidRPr="008931E4">
        <w:t>The Law on the Rights of Persons with Disabilities</w:t>
      </w:r>
      <w:r w:rsidR="00A058AC" w:rsidRPr="008931E4">
        <w:t xml:space="preserve"> adopted in 2020</w:t>
      </w:r>
      <w:r w:rsidRPr="008931E4">
        <w:t xml:space="preserve"> and its unified strategy </w:t>
      </w:r>
      <w:r w:rsidR="00A058AC" w:rsidRPr="008931E4">
        <w:t xml:space="preserve">covering the period </w:t>
      </w:r>
      <w:r w:rsidRPr="008931E4">
        <w:t>2021–</w:t>
      </w:r>
      <w:proofErr w:type="gramStart"/>
      <w:r w:rsidRPr="008931E4">
        <w:t>2035;</w:t>
      </w:r>
      <w:proofErr w:type="gramEnd"/>
    </w:p>
    <w:p w14:paraId="6FF6994D" w14:textId="77777777" w:rsidR="00236198" w:rsidRPr="008931E4" w:rsidRDefault="00236198" w:rsidP="008931E4">
      <w:pPr>
        <w:pStyle w:val="SingleTxtG"/>
        <w:ind w:firstLine="567"/>
      </w:pPr>
      <w:r w:rsidRPr="008931E4">
        <w:t>(b)</w:t>
      </w:r>
      <w:r w:rsidRPr="008931E4">
        <w:tab/>
        <w:t>The Law on the Elimination of All Forms of Discrimination (the Anti-Discrimination Law</w:t>
      </w:r>
      <w:proofErr w:type="gramStart"/>
      <w:r w:rsidRPr="008931E4">
        <w:t>);</w:t>
      </w:r>
      <w:proofErr w:type="gramEnd"/>
      <w:r w:rsidRPr="008931E4">
        <w:t xml:space="preserve"> </w:t>
      </w:r>
    </w:p>
    <w:p w14:paraId="356BB521" w14:textId="3B5DBF4E" w:rsidR="00236198" w:rsidRPr="008931E4" w:rsidRDefault="00236198" w:rsidP="008931E4">
      <w:pPr>
        <w:pStyle w:val="SingleTxtG"/>
        <w:ind w:firstLine="567"/>
      </w:pPr>
      <w:r w:rsidRPr="008931E4">
        <w:t>(c)</w:t>
      </w:r>
      <w:r w:rsidRPr="008931E4">
        <w:tab/>
        <w:t xml:space="preserve">The Law on Social Protection of Persons with </w:t>
      </w:r>
      <w:proofErr w:type="gramStart"/>
      <w:r w:rsidRPr="008931E4">
        <w:t>Disabilities;</w:t>
      </w:r>
      <w:proofErr w:type="gramEnd"/>
    </w:p>
    <w:p w14:paraId="1680D62D" w14:textId="2FD85764" w:rsidR="006653A9" w:rsidRPr="008931E4" w:rsidRDefault="006653A9" w:rsidP="008931E4">
      <w:pPr>
        <w:pStyle w:val="SingleTxtG"/>
        <w:ind w:firstLine="567"/>
      </w:pPr>
      <w:r w:rsidRPr="008931E4">
        <w:t>(d)</w:t>
      </w:r>
      <w:r w:rsidRPr="008931E4">
        <w:tab/>
        <w:t xml:space="preserve">The Law on Gender </w:t>
      </w:r>
      <w:proofErr w:type="gramStart"/>
      <w:r w:rsidRPr="008931E4">
        <w:t>Equality;</w:t>
      </w:r>
      <w:proofErr w:type="gramEnd"/>
    </w:p>
    <w:p w14:paraId="0010795A" w14:textId="7526E36B" w:rsidR="00236198" w:rsidRPr="00502ECB" w:rsidRDefault="00236198" w:rsidP="008931E4">
      <w:pPr>
        <w:pStyle w:val="SingleTxtG"/>
        <w:ind w:firstLine="567"/>
        <w:rPr>
          <w:rFonts w:eastAsia="Malgun Gothic"/>
        </w:rPr>
      </w:pPr>
      <w:r w:rsidRPr="008931E4">
        <w:t>(</w:t>
      </w:r>
      <w:r w:rsidR="000223E1" w:rsidRPr="008931E4">
        <w:t>e</w:t>
      </w:r>
      <w:r w:rsidRPr="008931E4">
        <w:t>)</w:t>
      </w:r>
      <w:r w:rsidRPr="008931E4">
        <w:tab/>
        <w:t>The Resolution N41 on the Creation of Areas for Persons with Disabilities and Technical Regulation of Architectural and Planning Elements providing for incorporation of standards for accessible physical</w:t>
      </w:r>
      <w:r w:rsidRPr="00502ECB">
        <w:rPr>
          <w:rFonts w:eastAsia="Malgun Gothic"/>
        </w:rPr>
        <w:t xml:space="preserve"> environment for persons with disabilities in the process of planning and construction</w:t>
      </w:r>
      <w:r w:rsidR="006653A9" w:rsidRPr="00502ECB">
        <w:rPr>
          <w:rFonts w:eastAsia="Malgun Gothic"/>
        </w:rPr>
        <w:t>.</w:t>
      </w:r>
    </w:p>
    <w:p w14:paraId="6B36006B" w14:textId="4552C58F" w:rsidR="00022427" w:rsidRPr="00502ECB" w:rsidRDefault="006653A9" w:rsidP="008931E4">
      <w:pPr>
        <w:pStyle w:val="SingleTxtG"/>
        <w:rPr>
          <w:rFonts w:eastAsia="Malgun Gothic"/>
        </w:rPr>
      </w:pPr>
      <w:r w:rsidRPr="00502ECB">
        <w:t>6.</w:t>
      </w:r>
      <w:r w:rsidRPr="00502ECB">
        <w:tab/>
        <w:t xml:space="preserve">The Committee </w:t>
      </w:r>
      <w:r w:rsidRPr="008931E4">
        <w:rPr>
          <w:rFonts w:eastAsia="Malgun Gothic"/>
        </w:rPr>
        <w:t>welcomes</w:t>
      </w:r>
      <w:r w:rsidRPr="00502ECB">
        <w:t xml:space="preserve"> the State party’s efforts to improve its institutional and policy framework aimed at implementing the Convention, in particular</w:t>
      </w:r>
      <w:r w:rsidR="00A058AC" w:rsidRPr="00502ECB">
        <w:t xml:space="preserve"> t</w:t>
      </w:r>
      <w:r w:rsidR="00236198" w:rsidRPr="00502ECB">
        <w:rPr>
          <w:rFonts w:eastAsia="Malgun Gothic"/>
        </w:rPr>
        <w:t xml:space="preserve">he establishment of </w:t>
      </w:r>
      <w:r w:rsidR="00236198" w:rsidRPr="00502ECB">
        <w:rPr>
          <w:rFonts w:eastAsia="Malgun Gothic"/>
        </w:rPr>
        <w:lastRenderedPageBreak/>
        <w:t>an Interagency Coordination Committee</w:t>
      </w:r>
      <w:r w:rsidR="00A058AC" w:rsidRPr="00502ECB">
        <w:rPr>
          <w:rFonts w:eastAsia="Malgun Gothic"/>
        </w:rPr>
        <w:t xml:space="preserve">, which </w:t>
      </w:r>
      <w:r w:rsidR="00BC0276">
        <w:rPr>
          <w:rFonts w:eastAsia="Malgun Gothic"/>
        </w:rPr>
        <w:t xml:space="preserve">is </w:t>
      </w:r>
      <w:r w:rsidR="00A058AC" w:rsidRPr="00502ECB">
        <w:t>responsible for the implementation of the Convention.</w:t>
      </w:r>
    </w:p>
    <w:p w14:paraId="49A27FF7" w14:textId="56F63062" w:rsidR="00022427" w:rsidRPr="00502ECB" w:rsidRDefault="008931E4" w:rsidP="008931E4">
      <w:pPr>
        <w:pStyle w:val="HChG"/>
      </w:pPr>
      <w:r>
        <w:tab/>
      </w:r>
      <w:r w:rsidR="00022427" w:rsidRPr="00502ECB">
        <w:t>III.</w:t>
      </w:r>
      <w:r w:rsidR="004B1104" w:rsidRPr="00502ECB">
        <w:tab/>
      </w:r>
      <w:r w:rsidR="00022427" w:rsidRPr="00502ECB">
        <w:t>Principal areas of concern and recommendations</w:t>
      </w:r>
    </w:p>
    <w:p w14:paraId="2F48BCB6" w14:textId="77777777" w:rsidR="00022427" w:rsidRPr="00502ECB" w:rsidRDefault="00022427" w:rsidP="008931E4">
      <w:pPr>
        <w:pStyle w:val="H1G"/>
      </w:pPr>
      <w:r w:rsidRPr="00502ECB">
        <w:tab/>
        <w:t>A.</w:t>
      </w:r>
      <w:r w:rsidRPr="00502ECB">
        <w:tab/>
        <w:t>General principles and obligations (arts. 1–4)</w:t>
      </w:r>
    </w:p>
    <w:p w14:paraId="147C6165" w14:textId="6DAD87A0" w:rsidR="00022427" w:rsidRPr="00502ECB" w:rsidRDefault="00022427" w:rsidP="00022427">
      <w:pPr>
        <w:pStyle w:val="SingleTxtG"/>
      </w:pPr>
      <w:r w:rsidRPr="00502ECB">
        <w:t>7.</w:t>
      </w:r>
      <w:r w:rsidRPr="00502ECB">
        <w:tab/>
        <w:t xml:space="preserve">The </w:t>
      </w:r>
      <w:r w:rsidRPr="008931E4">
        <w:rPr>
          <w:rFonts w:eastAsia="Malgun Gothic"/>
        </w:rPr>
        <w:t>Committee</w:t>
      </w:r>
      <w:r w:rsidRPr="00502ECB">
        <w:t xml:space="preserve"> observes with concern: </w:t>
      </w:r>
    </w:p>
    <w:p w14:paraId="677CEECD" w14:textId="1D3DBCA5" w:rsidR="00022427" w:rsidRPr="008931E4" w:rsidRDefault="00022427" w:rsidP="008931E4">
      <w:pPr>
        <w:pStyle w:val="SingleTxtG"/>
        <w:ind w:firstLine="567"/>
        <w:rPr>
          <w:rFonts w:eastAsia="Malgun Gothic"/>
        </w:rPr>
      </w:pPr>
      <w:r w:rsidRPr="00502ECB">
        <w:tab/>
      </w:r>
      <w:r w:rsidRPr="008931E4">
        <w:rPr>
          <w:rFonts w:eastAsia="Malgun Gothic"/>
        </w:rPr>
        <w:t>(a)</w:t>
      </w:r>
      <w:r w:rsidRPr="008931E4">
        <w:rPr>
          <w:rFonts w:eastAsia="Malgun Gothic"/>
        </w:rPr>
        <w:tab/>
        <w:t xml:space="preserve">The lack of </w:t>
      </w:r>
      <w:r w:rsidR="000378A4" w:rsidRPr="008931E4">
        <w:rPr>
          <w:rFonts w:eastAsia="Malgun Gothic"/>
        </w:rPr>
        <w:t xml:space="preserve">implementation of the Convention in the </w:t>
      </w:r>
      <w:r w:rsidRPr="008931E4">
        <w:rPr>
          <w:rFonts w:eastAsia="Malgun Gothic"/>
        </w:rPr>
        <w:t xml:space="preserve">occupied territories of </w:t>
      </w:r>
      <w:r w:rsidR="006314AF" w:rsidRPr="008931E4">
        <w:rPr>
          <w:rFonts w:eastAsia="Malgun Gothic"/>
        </w:rPr>
        <w:t>Abkhazia</w:t>
      </w:r>
      <w:r w:rsidR="000378A4" w:rsidRPr="008931E4">
        <w:rPr>
          <w:rFonts w:eastAsia="Malgun Gothic"/>
        </w:rPr>
        <w:t>, Georgia</w:t>
      </w:r>
      <w:r w:rsidR="006314AF" w:rsidRPr="008931E4">
        <w:rPr>
          <w:rFonts w:eastAsia="Malgun Gothic"/>
        </w:rPr>
        <w:t xml:space="preserve"> and Tskhinvali Region/South Ossetia, Georgia</w:t>
      </w:r>
      <w:r w:rsidR="00631DAC" w:rsidRPr="008931E4">
        <w:rPr>
          <w:rFonts w:eastAsia="Malgun Gothic"/>
        </w:rPr>
        <w:t>,</w:t>
      </w:r>
      <w:r w:rsidR="006314AF" w:rsidRPr="008931E4">
        <w:rPr>
          <w:rFonts w:eastAsia="Malgun Gothic"/>
        </w:rPr>
        <w:t xml:space="preserve"> and</w:t>
      </w:r>
      <w:r w:rsidR="000378A4" w:rsidRPr="008931E4">
        <w:rPr>
          <w:rFonts w:eastAsia="Malgun Gothic"/>
        </w:rPr>
        <w:t xml:space="preserve"> the risk of persons with disabilities therein to interna</w:t>
      </w:r>
      <w:r w:rsidR="00631DAC" w:rsidRPr="008931E4">
        <w:rPr>
          <w:rFonts w:eastAsia="Malgun Gothic"/>
        </w:rPr>
        <w:t>l</w:t>
      </w:r>
      <w:r w:rsidR="000378A4" w:rsidRPr="008931E4">
        <w:rPr>
          <w:rFonts w:eastAsia="Malgun Gothic"/>
        </w:rPr>
        <w:t xml:space="preserve"> displacement</w:t>
      </w:r>
      <w:r w:rsidR="0042145E" w:rsidRPr="008931E4">
        <w:rPr>
          <w:rFonts w:eastAsia="Malgun Gothic"/>
        </w:rPr>
        <w:t xml:space="preserve"> and other </w:t>
      </w:r>
      <w:r w:rsidR="00624A80" w:rsidRPr="008931E4">
        <w:rPr>
          <w:rFonts w:eastAsia="Malgun Gothic"/>
        </w:rPr>
        <w:t>infringements</w:t>
      </w:r>
      <w:r w:rsidR="00631DAC" w:rsidRPr="008931E4">
        <w:rPr>
          <w:rFonts w:eastAsia="Malgun Gothic"/>
        </w:rPr>
        <w:t xml:space="preserve"> </w:t>
      </w:r>
      <w:r w:rsidR="0042145E" w:rsidRPr="008931E4">
        <w:rPr>
          <w:rFonts w:eastAsia="Malgun Gothic"/>
        </w:rPr>
        <w:t xml:space="preserve">on their human </w:t>
      </w:r>
      <w:proofErr w:type="gramStart"/>
      <w:r w:rsidR="0042145E" w:rsidRPr="008931E4">
        <w:rPr>
          <w:rFonts w:eastAsia="Malgun Gothic"/>
        </w:rPr>
        <w:t>rights</w:t>
      </w:r>
      <w:r w:rsidR="006314AF" w:rsidRPr="008931E4">
        <w:rPr>
          <w:rFonts w:eastAsia="Malgun Gothic"/>
        </w:rPr>
        <w:t>;</w:t>
      </w:r>
      <w:proofErr w:type="gramEnd"/>
      <w:r w:rsidR="006314AF" w:rsidRPr="008931E4">
        <w:rPr>
          <w:rFonts w:eastAsia="Malgun Gothic"/>
        </w:rPr>
        <w:t xml:space="preserve"> </w:t>
      </w:r>
    </w:p>
    <w:p w14:paraId="7CB065C0" w14:textId="3C0D8050" w:rsidR="00022427" w:rsidRPr="008931E4" w:rsidRDefault="00022427" w:rsidP="008931E4">
      <w:pPr>
        <w:pStyle w:val="SingleTxtG"/>
        <w:ind w:firstLine="567"/>
        <w:rPr>
          <w:rFonts w:eastAsia="Malgun Gothic"/>
        </w:rPr>
      </w:pPr>
      <w:r w:rsidRPr="008931E4">
        <w:rPr>
          <w:rFonts w:eastAsia="Malgun Gothic"/>
        </w:rPr>
        <w:t>(b)</w:t>
      </w:r>
      <w:r w:rsidRPr="008931E4">
        <w:rPr>
          <w:rFonts w:eastAsia="Malgun Gothic"/>
        </w:rPr>
        <w:tab/>
        <w:t>The prevalence of the medical approach to disability in the State party’s disability assessment system</w:t>
      </w:r>
      <w:r w:rsidR="000378A4" w:rsidRPr="008931E4">
        <w:rPr>
          <w:rFonts w:eastAsia="Malgun Gothic"/>
        </w:rPr>
        <w:t xml:space="preserve">, which </w:t>
      </w:r>
      <w:r w:rsidR="0042145E" w:rsidRPr="008931E4">
        <w:rPr>
          <w:rFonts w:eastAsia="Malgun Gothic"/>
        </w:rPr>
        <w:t xml:space="preserve">persists </w:t>
      </w:r>
      <w:r w:rsidR="00C42525" w:rsidRPr="008931E4">
        <w:rPr>
          <w:rFonts w:eastAsia="Malgun Gothic"/>
        </w:rPr>
        <w:t>in th</w:t>
      </w:r>
      <w:r w:rsidR="0042145E" w:rsidRPr="008931E4">
        <w:rPr>
          <w:rFonts w:eastAsia="Malgun Gothic"/>
        </w:rPr>
        <w:t xml:space="preserve">e reform </w:t>
      </w:r>
      <w:proofErr w:type="gramStart"/>
      <w:r w:rsidR="0042145E" w:rsidRPr="008931E4">
        <w:rPr>
          <w:rFonts w:eastAsia="Malgun Gothic"/>
        </w:rPr>
        <w:t>process</w:t>
      </w:r>
      <w:r w:rsidRPr="008931E4">
        <w:rPr>
          <w:rFonts w:eastAsia="Malgun Gothic"/>
        </w:rPr>
        <w:t>;</w:t>
      </w:r>
      <w:proofErr w:type="gramEnd"/>
    </w:p>
    <w:p w14:paraId="3FE1D2B3" w14:textId="4AEB8ADD" w:rsidR="00022427" w:rsidRPr="008931E4" w:rsidRDefault="00B65A59" w:rsidP="008931E4">
      <w:pPr>
        <w:pStyle w:val="SingleTxtG"/>
        <w:ind w:firstLine="567"/>
        <w:rPr>
          <w:rFonts w:eastAsia="Malgun Gothic"/>
        </w:rPr>
      </w:pPr>
      <w:r w:rsidRPr="008931E4">
        <w:rPr>
          <w:rFonts w:eastAsia="Malgun Gothic"/>
        </w:rPr>
        <w:t>(</w:t>
      </w:r>
      <w:r w:rsidR="00022427" w:rsidRPr="008931E4">
        <w:rPr>
          <w:rFonts w:eastAsia="Malgun Gothic"/>
        </w:rPr>
        <w:t>c</w:t>
      </w:r>
      <w:r w:rsidRPr="008931E4">
        <w:rPr>
          <w:rFonts w:eastAsia="Malgun Gothic"/>
        </w:rPr>
        <w:t xml:space="preserve">) </w:t>
      </w:r>
      <w:r w:rsidRPr="008931E4">
        <w:rPr>
          <w:rFonts w:eastAsia="Malgun Gothic"/>
        </w:rPr>
        <w:tab/>
        <w:t xml:space="preserve">That </w:t>
      </w:r>
      <w:r w:rsidR="006314AF" w:rsidRPr="008931E4">
        <w:rPr>
          <w:rFonts w:eastAsia="Malgun Gothic"/>
        </w:rPr>
        <w:t>legislation</w:t>
      </w:r>
      <w:r w:rsidR="00E02D2C" w:rsidRPr="008931E4">
        <w:rPr>
          <w:rFonts w:eastAsia="Malgun Gothic"/>
        </w:rPr>
        <w:t xml:space="preserve"> and practices</w:t>
      </w:r>
      <w:r w:rsidR="006314AF" w:rsidRPr="008931E4">
        <w:rPr>
          <w:rFonts w:eastAsia="Malgun Gothic"/>
        </w:rPr>
        <w:t xml:space="preserve"> </w:t>
      </w:r>
      <w:r w:rsidR="00022427" w:rsidRPr="008931E4">
        <w:rPr>
          <w:rFonts w:eastAsia="Malgun Gothic"/>
        </w:rPr>
        <w:t xml:space="preserve">in areas such as mental health, participation in social and political affairs and family </w:t>
      </w:r>
      <w:r w:rsidR="00E02D2C" w:rsidRPr="008931E4">
        <w:rPr>
          <w:rFonts w:eastAsia="Malgun Gothic"/>
        </w:rPr>
        <w:t>matters</w:t>
      </w:r>
      <w:r w:rsidR="000378A4" w:rsidRPr="008931E4">
        <w:rPr>
          <w:rFonts w:eastAsia="Malgun Gothic"/>
        </w:rPr>
        <w:t xml:space="preserve"> </w:t>
      </w:r>
      <w:r w:rsidR="00E02D2C" w:rsidRPr="008931E4">
        <w:rPr>
          <w:rFonts w:eastAsia="Malgun Gothic"/>
        </w:rPr>
        <w:t xml:space="preserve">reinforce </w:t>
      </w:r>
      <w:r w:rsidR="000378A4" w:rsidRPr="008931E4">
        <w:rPr>
          <w:rFonts w:eastAsia="Malgun Gothic"/>
        </w:rPr>
        <w:t xml:space="preserve">negative </w:t>
      </w:r>
      <w:r w:rsidR="00E02D2C" w:rsidRPr="008931E4">
        <w:rPr>
          <w:rFonts w:eastAsia="Malgun Gothic"/>
        </w:rPr>
        <w:t>stereotypes</w:t>
      </w:r>
      <w:r w:rsidR="0042145E" w:rsidRPr="008931E4">
        <w:rPr>
          <w:rFonts w:eastAsia="Malgun Gothic"/>
        </w:rPr>
        <w:t xml:space="preserve"> against persons with disabilities, including</w:t>
      </w:r>
      <w:r w:rsidR="00E02D2C" w:rsidRPr="008931E4">
        <w:rPr>
          <w:rFonts w:eastAsia="Malgun Gothic"/>
        </w:rPr>
        <w:t xml:space="preserve"> </w:t>
      </w:r>
      <w:r w:rsidR="0042145E" w:rsidRPr="008931E4">
        <w:rPr>
          <w:rFonts w:eastAsia="Malgun Gothic"/>
        </w:rPr>
        <w:t>d</w:t>
      </w:r>
      <w:r w:rsidR="00E02D2C" w:rsidRPr="008931E4">
        <w:rPr>
          <w:rFonts w:eastAsia="Malgun Gothic"/>
        </w:rPr>
        <w:t>ependence</w:t>
      </w:r>
      <w:r w:rsidR="0042145E" w:rsidRPr="008931E4">
        <w:rPr>
          <w:rFonts w:eastAsia="Malgun Gothic"/>
        </w:rPr>
        <w:t xml:space="preserve"> from third parties and</w:t>
      </w:r>
      <w:r w:rsidR="00E02D2C" w:rsidRPr="008931E4">
        <w:rPr>
          <w:rFonts w:eastAsia="Malgun Gothic"/>
        </w:rPr>
        <w:t xml:space="preserve"> </w:t>
      </w:r>
      <w:r w:rsidR="00631DAC" w:rsidRPr="008931E4">
        <w:rPr>
          <w:rFonts w:eastAsia="Malgun Gothic"/>
        </w:rPr>
        <w:t xml:space="preserve">a </w:t>
      </w:r>
      <w:r w:rsidR="0042145E" w:rsidRPr="008931E4">
        <w:rPr>
          <w:rFonts w:eastAsia="Malgun Gothic"/>
        </w:rPr>
        <w:t>lack of</w:t>
      </w:r>
      <w:r w:rsidR="000378A4" w:rsidRPr="008931E4">
        <w:rPr>
          <w:rFonts w:eastAsia="Malgun Gothic"/>
        </w:rPr>
        <w:t xml:space="preserve"> </w:t>
      </w:r>
      <w:r w:rsidR="00E02D2C" w:rsidRPr="008931E4">
        <w:rPr>
          <w:rFonts w:eastAsia="Malgun Gothic"/>
        </w:rPr>
        <w:t>autonomy</w:t>
      </w:r>
      <w:r w:rsidR="0042145E" w:rsidRPr="008931E4">
        <w:rPr>
          <w:rFonts w:eastAsia="Malgun Gothic"/>
        </w:rPr>
        <w:t xml:space="preserve">, and retain derogatory </w:t>
      </w:r>
      <w:proofErr w:type="gramStart"/>
      <w:r w:rsidR="0042145E" w:rsidRPr="008931E4">
        <w:rPr>
          <w:rFonts w:eastAsia="Malgun Gothic"/>
        </w:rPr>
        <w:t>language</w:t>
      </w:r>
      <w:r w:rsidR="00022427" w:rsidRPr="008931E4">
        <w:rPr>
          <w:rFonts w:eastAsia="Malgun Gothic"/>
        </w:rPr>
        <w:t>;</w:t>
      </w:r>
      <w:proofErr w:type="gramEnd"/>
      <w:r w:rsidR="00022427" w:rsidRPr="008931E4">
        <w:rPr>
          <w:rFonts w:eastAsia="Malgun Gothic"/>
        </w:rPr>
        <w:t xml:space="preserve"> </w:t>
      </w:r>
    </w:p>
    <w:p w14:paraId="4CBDD0AE" w14:textId="2C43824E" w:rsidR="009F5DE1" w:rsidRPr="008931E4" w:rsidRDefault="00022427" w:rsidP="008931E4">
      <w:pPr>
        <w:pStyle w:val="SingleTxtG"/>
        <w:ind w:firstLine="567"/>
        <w:rPr>
          <w:rFonts w:eastAsia="Malgun Gothic"/>
        </w:rPr>
      </w:pPr>
      <w:r w:rsidRPr="008931E4">
        <w:rPr>
          <w:rFonts w:eastAsia="Malgun Gothic"/>
        </w:rPr>
        <w:t>(</w:t>
      </w:r>
      <w:r w:rsidR="00A12305" w:rsidRPr="008931E4">
        <w:rPr>
          <w:rFonts w:eastAsia="Malgun Gothic"/>
        </w:rPr>
        <w:t>d</w:t>
      </w:r>
      <w:r w:rsidRPr="008931E4">
        <w:rPr>
          <w:rFonts w:eastAsia="Malgun Gothic"/>
        </w:rPr>
        <w:t>)</w:t>
      </w:r>
      <w:r w:rsidR="00A12305" w:rsidRPr="008931E4">
        <w:rPr>
          <w:rFonts w:eastAsia="Malgun Gothic"/>
        </w:rPr>
        <w:tab/>
        <w:t>Th</w:t>
      </w:r>
      <w:r w:rsidR="00E02D2C" w:rsidRPr="008931E4">
        <w:rPr>
          <w:rFonts w:eastAsia="Malgun Gothic"/>
        </w:rPr>
        <w:t xml:space="preserve">e absence of a </w:t>
      </w:r>
      <w:r w:rsidR="009F5DE1" w:rsidRPr="008931E4">
        <w:rPr>
          <w:rFonts w:eastAsia="Malgun Gothic"/>
        </w:rPr>
        <w:t>national</w:t>
      </w:r>
      <w:r w:rsidR="00E02D2C" w:rsidRPr="008931E4">
        <w:rPr>
          <w:rFonts w:eastAsia="Malgun Gothic"/>
        </w:rPr>
        <w:t xml:space="preserve"> strategy and action plans </w:t>
      </w:r>
      <w:r w:rsidR="005B4DEB">
        <w:rPr>
          <w:rFonts w:eastAsia="Malgun Gothic"/>
        </w:rPr>
        <w:t xml:space="preserve">on disability </w:t>
      </w:r>
      <w:r w:rsidR="00E02D2C" w:rsidRPr="008931E4">
        <w:rPr>
          <w:rFonts w:eastAsia="Malgun Gothic"/>
        </w:rPr>
        <w:t>at the national and local levels to implement the Convention</w:t>
      </w:r>
      <w:r w:rsidR="009F5DE1" w:rsidRPr="008931E4">
        <w:rPr>
          <w:rFonts w:eastAsia="Malgun Gothic"/>
        </w:rPr>
        <w:t xml:space="preserve">, and the </w:t>
      </w:r>
      <w:r w:rsidR="00E02D2C" w:rsidRPr="008931E4">
        <w:rPr>
          <w:rFonts w:eastAsia="Malgun Gothic"/>
        </w:rPr>
        <w:t xml:space="preserve">limited scope of </w:t>
      </w:r>
      <w:r w:rsidR="009F5DE1" w:rsidRPr="008931E4">
        <w:rPr>
          <w:rFonts w:eastAsia="Malgun Gothic"/>
        </w:rPr>
        <w:t>disability rights in the National Human Rights Strategy</w:t>
      </w:r>
      <w:r w:rsidR="008255A3" w:rsidRPr="008931E4">
        <w:rPr>
          <w:rFonts w:eastAsia="Malgun Gothic"/>
        </w:rPr>
        <w:t xml:space="preserve"> (2022-2030)</w:t>
      </w:r>
      <w:r w:rsidR="009F5DE1" w:rsidRPr="008931E4">
        <w:rPr>
          <w:rFonts w:eastAsia="Malgun Gothic"/>
        </w:rPr>
        <w:t xml:space="preserve"> and </w:t>
      </w:r>
      <w:r w:rsidR="008255A3" w:rsidRPr="008931E4">
        <w:rPr>
          <w:rFonts w:eastAsia="Malgun Gothic"/>
        </w:rPr>
        <w:t xml:space="preserve">its </w:t>
      </w:r>
      <w:r w:rsidR="00631DAC" w:rsidRPr="008931E4">
        <w:rPr>
          <w:rFonts w:eastAsia="Malgun Gothic"/>
        </w:rPr>
        <w:t>action plan</w:t>
      </w:r>
      <w:r w:rsidR="009F5DE1" w:rsidRPr="008931E4">
        <w:rPr>
          <w:rFonts w:eastAsia="Malgun Gothic"/>
        </w:rPr>
        <w:t>.</w:t>
      </w:r>
    </w:p>
    <w:p w14:paraId="381ECB6D" w14:textId="76E12C9A" w:rsidR="009F5DE1" w:rsidRPr="00502ECB" w:rsidRDefault="009F5DE1" w:rsidP="009F5DE1">
      <w:pPr>
        <w:pStyle w:val="SingleTxtG"/>
        <w:rPr>
          <w:b/>
          <w:bCs/>
        </w:rPr>
      </w:pPr>
      <w:r w:rsidRPr="00502ECB">
        <w:t>8.</w:t>
      </w:r>
      <w:r w:rsidRPr="00502ECB">
        <w:rPr>
          <w:b/>
          <w:bCs/>
        </w:rPr>
        <w:t xml:space="preserve"> </w:t>
      </w:r>
      <w:r w:rsidRPr="00502ECB">
        <w:rPr>
          <w:b/>
          <w:bCs/>
        </w:rPr>
        <w:tab/>
        <w:t>The Committee recommends that the State party:</w:t>
      </w:r>
    </w:p>
    <w:p w14:paraId="6FCB883A" w14:textId="1489384C" w:rsidR="0005402D" w:rsidRPr="00F34B5A" w:rsidRDefault="009F5DE1" w:rsidP="00372CDB">
      <w:pPr>
        <w:pStyle w:val="SingleTxtG"/>
        <w:ind w:firstLine="567"/>
        <w:rPr>
          <w:b/>
          <w:bCs/>
        </w:rPr>
      </w:pPr>
      <w:r w:rsidRPr="008931E4">
        <w:rPr>
          <w:b/>
          <w:bCs/>
        </w:rPr>
        <w:t>(a)</w:t>
      </w:r>
      <w:r w:rsidRPr="008931E4">
        <w:rPr>
          <w:b/>
          <w:bCs/>
        </w:rPr>
        <w:tab/>
      </w:r>
      <w:r w:rsidR="00581362" w:rsidRPr="00502ECB">
        <w:rPr>
          <w:b/>
          <w:bCs/>
        </w:rPr>
        <w:t xml:space="preserve">Include </w:t>
      </w:r>
      <w:r w:rsidR="00372CDB" w:rsidRPr="00502ECB">
        <w:rPr>
          <w:b/>
          <w:bCs/>
        </w:rPr>
        <w:t xml:space="preserve">internally displaced </w:t>
      </w:r>
      <w:r w:rsidR="00581362" w:rsidRPr="00502ECB">
        <w:rPr>
          <w:b/>
          <w:bCs/>
        </w:rPr>
        <w:t xml:space="preserve">persons with disabilities </w:t>
      </w:r>
      <w:r w:rsidR="00372CDB" w:rsidRPr="00502ECB">
        <w:rPr>
          <w:b/>
          <w:bCs/>
        </w:rPr>
        <w:t>from the</w:t>
      </w:r>
      <w:r w:rsidR="004713E8" w:rsidRPr="00502ECB">
        <w:rPr>
          <w:b/>
          <w:bCs/>
        </w:rPr>
        <w:t xml:space="preserve"> territories of </w:t>
      </w:r>
      <w:r w:rsidR="00566BF4" w:rsidRPr="00502ECB">
        <w:rPr>
          <w:b/>
          <w:bCs/>
        </w:rPr>
        <w:t>Abkhazia, Georgia, and the Tskhinvali region/South Ossetia, Georgia</w:t>
      </w:r>
      <w:r w:rsidR="00631DAC" w:rsidRPr="00502ECB">
        <w:rPr>
          <w:b/>
          <w:bCs/>
        </w:rPr>
        <w:t>,</w:t>
      </w:r>
      <w:r w:rsidR="00372CDB" w:rsidRPr="00502ECB">
        <w:rPr>
          <w:b/>
          <w:bCs/>
        </w:rPr>
        <w:t xml:space="preserve"> in </w:t>
      </w:r>
      <w:r w:rsidR="00441561" w:rsidRPr="00502ECB">
        <w:rPr>
          <w:b/>
          <w:bCs/>
        </w:rPr>
        <w:t xml:space="preserve">long term-housing initiatives for internally displaced persons </w:t>
      </w:r>
      <w:r w:rsidR="00372CDB" w:rsidRPr="00502ECB">
        <w:rPr>
          <w:b/>
          <w:bCs/>
        </w:rPr>
        <w:t xml:space="preserve">and take into consideration the recommendations made </w:t>
      </w:r>
      <w:r w:rsidR="00631DAC" w:rsidRPr="00502ECB">
        <w:rPr>
          <w:b/>
          <w:bCs/>
        </w:rPr>
        <w:t xml:space="preserve">in </w:t>
      </w:r>
      <w:r w:rsidR="00372CDB" w:rsidRPr="00502ECB">
        <w:rPr>
          <w:b/>
          <w:bCs/>
        </w:rPr>
        <w:t xml:space="preserve">the Human Rights Council’s Universal Periodic Review in relation to Georgia in 2021 (A/HRC/47/15), </w:t>
      </w:r>
      <w:r w:rsidR="00744F3A">
        <w:rPr>
          <w:b/>
          <w:bCs/>
        </w:rPr>
        <w:t xml:space="preserve">aimed at enhancing </w:t>
      </w:r>
      <w:r w:rsidR="0025213E" w:rsidRPr="0025213E">
        <w:rPr>
          <w:b/>
          <w:bCs/>
        </w:rPr>
        <w:t>cooperation with international partners</w:t>
      </w:r>
      <w:r w:rsidR="0025213E">
        <w:rPr>
          <w:b/>
          <w:bCs/>
        </w:rPr>
        <w:t xml:space="preserve"> to</w:t>
      </w:r>
      <w:r w:rsidR="00631DAC" w:rsidRPr="00502ECB">
        <w:rPr>
          <w:b/>
          <w:bCs/>
        </w:rPr>
        <w:t xml:space="preserve"> ensure </w:t>
      </w:r>
      <w:r w:rsidR="00372CDB" w:rsidRPr="00502ECB">
        <w:rPr>
          <w:b/>
          <w:bCs/>
        </w:rPr>
        <w:t xml:space="preserve">unrestricted </w:t>
      </w:r>
      <w:r w:rsidR="00372CDB" w:rsidRPr="00F34B5A">
        <w:rPr>
          <w:b/>
          <w:bCs/>
        </w:rPr>
        <w:t xml:space="preserve">access </w:t>
      </w:r>
      <w:r w:rsidR="00F12D76" w:rsidRPr="00F34B5A">
        <w:rPr>
          <w:b/>
          <w:bCs/>
        </w:rPr>
        <w:t>of</w:t>
      </w:r>
      <w:r w:rsidR="00631DAC" w:rsidRPr="00F34B5A">
        <w:rPr>
          <w:b/>
          <w:bCs/>
        </w:rPr>
        <w:t xml:space="preserve"> </w:t>
      </w:r>
      <w:r w:rsidR="00372CDB" w:rsidRPr="00F34B5A">
        <w:rPr>
          <w:b/>
          <w:bCs/>
        </w:rPr>
        <w:t>humanitarian and development organizations and international human rights monitoring</w:t>
      </w:r>
      <w:r w:rsidR="00631DAC" w:rsidRPr="00F34B5A">
        <w:rPr>
          <w:b/>
          <w:bCs/>
        </w:rPr>
        <w:t xml:space="preserve"> bodies</w:t>
      </w:r>
      <w:r w:rsidR="00F12D76" w:rsidRPr="00F34B5A">
        <w:rPr>
          <w:b/>
          <w:bCs/>
        </w:rPr>
        <w:t xml:space="preserve"> by the Russian Federation</w:t>
      </w:r>
      <w:r w:rsidR="00372CDB" w:rsidRPr="00F34B5A">
        <w:rPr>
          <w:b/>
          <w:bCs/>
        </w:rPr>
        <w:t xml:space="preserve"> </w:t>
      </w:r>
      <w:r w:rsidR="0042145E" w:rsidRPr="00F34B5A">
        <w:rPr>
          <w:b/>
          <w:bCs/>
        </w:rPr>
        <w:t xml:space="preserve">to </w:t>
      </w:r>
      <w:r w:rsidR="00372CDB" w:rsidRPr="00F34B5A">
        <w:rPr>
          <w:b/>
          <w:bCs/>
        </w:rPr>
        <w:t xml:space="preserve">address the situation of persons with disabilities within these regions;  </w:t>
      </w:r>
    </w:p>
    <w:p w14:paraId="5A880DCB" w14:textId="66217290" w:rsidR="00441561" w:rsidRPr="00F34B5A" w:rsidRDefault="009F5DE1" w:rsidP="00441561">
      <w:pPr>
        <w:pStyle w:val="SingleTxtG"/>
        <w:ind w:firstLine="567"/>
        <w:rPr>
          <w:b/>
          <w:bCs/>
        </w:rPr>
      </w:pPr>
      <w:r w:rsidRPr="00F34B5A">
        <w:rPr>
          <w:b/>
        </w:rPr>
        <w:t>(b)</w:t>
      </w:r>
      <w:r w:rsidRPr="00F34B5A">
        <w:rPr>
          <w:b/>
        </w:rPr>
        <w:tab/>
      </w:r>
      <w:r w:rsidR="008255A3" w:rsidRPr="00F34B5A">
        <w:rPr>
          <w:b/>
          <w:bCs/>
        </w:rPr>
        <w:t xml:space="preserve">Complete the process to </w:t>
      </w:r>
      <w:r w:rsidR="00631DAC" w:rsidRPr="00F34B5A">
        <w:rPr>
          <w:b/>
          <w:bCs/>
        </w:rPr>
        <w:t>establish</w:t>
      </w:r>
      <w:r w:rsidR="00D6450F" w:rsidRPr="00F34B5A">
        <w:rPr>
          <w:b/>
          <w:bCs/>
        </w:rPr>
        <w:t xml:space="preserve"> a</w:t>
      </w:r>
      <w:r w:rsidR="00B65A59" w:rsidRPr="00F34B5A">
        <w:rPr>
          <w:b/>
          <w:bCs/>
        </w:rPr>
        <w:t xml:space="preserve"> disability assessment system </w:t>
      </w:r>
      <w:r w:rsidR="00631DAC" w:rsidRPr="00F34B5A">
        <w:rPr>
          <w:b/>
          <w:bCs/>
        </w:rPr>
        <w:t>and ensure</w:t>
      </w:r>
      <w:r w:rsidR="003A5B3F" w:rsidRPr="00F34B5A">
        <w:rPr>
          <w:b/>
          <w:bCs/>
        </w:rPr>
        <w:t>: (</w:t>
      </w:r>
      <w:proofErr w:type="spellStart"/>
      <w:r w:rsidR="003A5B3F" w:rsidRPr="00F34B5A">
        <w:rPr>
          <w:b/>
          <w:bCs/>
        </w:rPr>
        <w:t>i</w:t>
      </w:r>
      <w:proofErr w:type="spellEnd"/>
      <w:r w:rsidR="003A5B3F" w:rsidRPr="00F34B5A">
        <w:rPr>
          <w:b/>
          <w:bCs/>
        </w:rPr>
        <w:t>)</w:t>
      </w:r>
      <w:r w:rsidR="00727CA9" w:rsidRPr="00F34B5A">
        <w:rPr>
          <w:b/>
          <w:bCs/>
        </w:rPr>
        <w:t xml:space="preserve"> that organizations of persons with disabilities are involved in its </w:t>
      </w:r>
      <w:r w:rsidR="00631DAC" w:rsidRPr="00F34B5A">
        <w:rPr>
          <w:b/>
          <w:bCs/>
        </w:rPr>
        <w:t>design</w:t>
      </w:r>
      <w:r w:rsidR="003A5B3F" w:rsidRPr="00F34B5A">
        <w:rPr>
          <w:b/>
          <w:bCs/>
        </w:rPr>
        <w:t>; (ii)</w:t>
      </w:r>
      <w:r w:rsidR="00727CA9" w:rsidRPr="00F34B5A">
        <w:rPr>
          <w:b/>
          <w:bCs/>
        </w:rPr>
        <w:t xml:space="preserve"> that multiple assessments do not create an undue burden for applicants</w:t>
      </w:r>
      <w:r w:rsidR="003A5B3F" w:rsidRPr="00F34B5A">
        <w:rPr>
          <w:b/>
          <w:bCs/>
        </w:rPr>
        <w:t>; (iii)</w:t>
      </w:r>
      <w:r w:rsidR="00727CA9" w:rsidRPr="00F34B5A">
        <w:rPr>
          <w:b/>
          <w:bCs/>
        </w:rPr>
        <w:t xml:space="preserve"> that policies and programmes shift from care, treatment and protection towards the removal of environmental and attitudinal barriers </w:t>
      </w:r>
      <w:r w:rsidR="00631DAC" w:rsidRPr="00F34B5A">
        <w:rPr>
          <w:b/>
          <w:bCs/>
        </w:rPr>
        <w:t xml:space="preserve">that </w:t>
      </w:r>
      <w:r w:rsidR="00727CA9" w:rsidRPr="00F34B5A">
        <w:rPr>
          <w:b/>
          <w:bCs/>
        </w:rPr>
        <w:t>prevent equality and inclusion</w:t>
      </w:r>
      <w:r w:rsidR="003A5B3F" w:rsidRPr="00F34B5A">
        <w:rPr>
          <w:b/>
          <w:bCs/>
        </w:rPr>
        <w:t xml:space="preserve">; and (iv) that </w:t>
      </w:r>
      <w:r w:rsidR="00B65A59" w:rsidRPr="00F34B5A">
        <w:rPr>
          <w:b/>
          <w:bCs/>
        </w:rPr>
        <w:t xml:space="preserve">the disability assessment system </w:t>
      </w:r>
      <w:r w:rsidR="00631DAC" w:rsidRPr="00F34B5A">
        <w:rPr>
          <w:b/>
          <w:bCs/>
        </w:rPr>
        <w:t>ensures</w:t>
      </w:r>
      <w:r w:rsidR="003A5B3F" w:rsidRPr="00F34B5A">
        <w:rPr>
          <w:b/>
          <w:bCs/>
        </w:rPr>
        <w:t xml:space="preserve"> </w:t>
      </w:r>
      <w:r w:rsidR="0093616B" w:rsidRPr="00F34B5A">
        <w:rPr>
          <w:b/>
          <w:bCs/>
        </w:rPr>
        <w:t>that</w:t>
      </w:r>
      <w:r w:rsidR="003A5B3F" w:rsidRPr="00F34B5A">
        <w:rPr>
          <w:b/>
          <w:bCs/>
        </w:rPr>
        <w:t xml:space="preserve"> disability entitlements</w:t>
      </w:r>
      <w:r w:rsidR="00B65A59" w:rsidRPr="00F34B5A">
        <w:rPr>
          <w:b/>
          <w:bCs/>
        </w:rPr>
        <w:t xml:space="preserve"> </w:t>
      </w:r>
      <w:r w:rsidR="003A5B3F" w:rsidRPr="00F34B5A">
        <w:rPr>
          <w:b/>
          <w:bCs/>
        </w:rPr>
        <w:t>are</w:t>
      </w:r>
      <w:r w:rsidR="00B65A59" w:rsidRPr="00F34B5A">
        <w:rPr>
          <w:b/>
          <w:bCs/>
        </w:rPr>
        <w:t xml:space="preserve"> tailored to the </w:t>
      </w:r>
      <w:r w:rsidR="003A5B3F" w:rsidRPr="00F34B5A">
        <w:rPr>
          <w:b/>
          <w:bCs/>
        </w:rPr>
        <w:t>requirements</w:t>
      </w:r>
      <w:r w:rsidR="0093616B" w:rsidRPr="00F34B5A">
        <w:rPr>
          <w:b/>
          <w:bCs/>
        </w:rPr>
        <w:t xml:space="preserve"> of each individual</w:t>
      </w:r>
      <w:r w:rsidR="00B65A59" w:rsidRPr="00F34B5A">
        <w:rPr>
          <w:b/>
          <w:bCs/>
        </w:rPr>
        <w:t>;</w:t>
      </w:r>
    </w:p>
    <w:p w14:paraId="40129943" w14:textId="44B7C0EE" w:rsidR="0042145E" w:rsidRPr="00F34B5A" w:rsidRDefault="00441561" w:rsidP="00441561">
      <w:pPr>
        <w:pStyle w:val="SingleTxtG"/>
        <w:ind w:firstLine="567"/>
      </w:pPr>
      <w:r w:rsidRPr="00F34B5A">
        <w:rPr>
          <w:b/>
        </w:rPr>
        <w:t>(c)</w:t>
      </w:r>
      <w:r w:rsidRPr="00F34B5A">
        <w:rPr>
          <w:b/>
          <w:bCs/>
        </w:rPr>
        <w:tab/>
      </w:r>
      <w:r w:rsidR="0093616B" w:rsidRPr="00F34B5A">
        <w:rPr>
          <w:b/>
          <w:bCs/>
        </w:rPr>
        <w:t>Expedite</w:t>
      </w:r>
      <w:r w:rsidR="00D6450F" w:rsidRPr="00F34B5A">
        <w:rPr>
          <w:b/>
          <w:bCs/>
        </w:rPr>
        <w:t xml:space="preserve"> the </w:t>
      </w:r>
      <w:r w:rsidR="00727CA9" w:rsidRPr="00F34B5A">
        <w:rPr>
          <w:b/>
          <w:bCs/>
        </w:rPr>
        <w:t xml:space="preserve">review </w:t>
      </w:r>
      <w:r w:rsidR="0042145E" w:rsidRPr="00F34B5A">
        <w:rPr>
          <w:b/>
          <w:bCs/>
        </w:rPr>
        <w:t xml:space="preserve">process to </w:t>
      </w:r>
      <w:r w:rsidR="006314AF" w:rsidRPr="00F34B5A">
        <w:rPr>
          <w:b/>
          <w:bCs/>
        </w:rPr>
        <w:t>bring legislation and public policies, including th</w:t>
      </w:r>
      <w:r w:rsidR="006314AF" w:rsidRPr="00F34B5A">
        <w:rPr>
          <w:rFonts w:eastAsia="Times New Roman"/>
          <w:b/>
          <w:bCs/>
        </w:rPr>
        <w:t>e Law of Georgia on Medical and Social Expertise and Mental Health Development and the Action Plan</w:t>
      </w:r>
      <w:r w:rsidR="00727CA9" w:rsidRPr="00F34B5A">
        <w:rPr>
          <w:rFonts w:eastAsia="Times New Roman"/>
          <w:b/>
          <w:bCs/>
        </w:rPr>
        <w:t>,</w:t>
      </w:r>
      <w:r w:rsidR="006314AF" w:rsidRPr="00F34B5A">
        <w:rPr>
          <w:b/>
          <w:bCs/>
        </w:rPr>
        <w:t xml:space="preserve"> in line with the human rights model of disability as </w:t>
      </w:r>
      <w:r w:rsidR="006314AF" w:rsidRPr="00F34B5A">
        <w:rPr>
          <w:rFonts w:eastAsia="Times New Roman"/>
          <w:b/>
          <w:bCs/>
        </w:rPr>
        <w:t xml:space="preserve">elaborated in the Committee’s general comment No. 6 (2018) on equality and </w:t>
      </w:r>
      <w:proofErr w:type="gramStart"/>
      <w:r w:rsidR="006314AF" w:rsidRPr="00F34B5A">
        <w:rPr>
          <w:rFonts w:eastAsia="Times New Roman"/>
          <w:b/>
          <w:bCs/>
        </w:rPr>
        <w:t>non-discrimination</w:t>
      </w:r>
      <w:r w:rsidR="006314AF" w:rsidRPr="00F34B5A">
        <w:rPr>
          <w:b/>
          <w:bCs/>
        </w:rPr>
        <w:t>;</w:t>
      </w:r>
      <w:proofErr w:type="gramEnd"/>
      <w:r w:rsidRPr="00F34B5A">
        <w:t xml:space="preserve"> </w:t>
      </w:r>
    </w:p>
    <w:p w14:paraId="16B4B50E" w14:textId="30609463" w:rsidR="00441561" w:rsidRPr="00F34B5A" w:rsidRDefault="0042145E" w:rsidP="009C2857">
      <w:pPr>
        <w:pStyle w:val="SingleTxtG"/>
        <w:ind w:firstLine="567"/>
      </w:pPr>
      <w:r w:rsidRPr="00F34B5A">
        <w:rPr>
          <w:b/>
        </w:rPr>
        <w:t>(d)</w:t>
      </w:r>
      <w:r w:rsidRPr="00F34B5A">
        <w:rPr>
          <w:b/>
          <w:bCs/>
        </w:rPr>
        <w:tab/>
      </w:r>
      <w:r w:rsidR="009C2857" w:rsidRPr="00F34B5A">
        <w:rPr>
          <w:b/>
          <w:bCs/>
        </w:rPr>
        <w:t xml:space="preserve">Enact a comprehensive strategy and </w:t>
      </w:r>
      <w:r w:rsidR="008255A3" w:rsidRPr="00F34B5A">
        <w:rPr>
          <w:b/>
          <w:bCs/>
        </w:rPr>
        <w:t>a national</w:t>
      </w:r>
      <w:r w:rsidR="009C2857" w:rsidRPr="00F34B5A">
        <w:rPr>
          <w:b/>
          <w:bCs/>
        </w:rPr>
        <w:t xml:space="preserve"> action </w:t>
      </w:r>
      <w:r w:rsidRPr="00F34B5A">
        <w:rPr>
          <w:b/>
          <w:bCs/>
        </w:rPr>
        <w:t xml:space="preserve">plan </w:t>
      </w:r>
      <w:r w:rsidR="009C2857" w:rsidRPr="00F34B5A">
        <w:rPr>
          <w:b/>
          <w:bCs/>
        </w:rPr>
        <w:t xml:space="preserve">to implement the Convention </w:t>
      </w:r>
      <w:r w:rsidR="0093616B" w:rsidRPr="00F34B5A">
        <w:rPr>
          <w:b/>
          <w:bCs/>
        </w:rPr>
        <w:t>that contains</w:t>
      </w:r>
      <w:r w:rsidR="009C2857" w:rsidRPr="00F34B5A">
        <w:rPr>
          <w:b/>
          <w:bCs/>
        </w:rPr>
        <w:t xml:space="preserve"> appropriate human, technical and financial resources, </w:t>
      </w:r>
      <w:proofErr w:type="gramStart"/>
      <w:r w:rsidR="009C2857" w:rsidRPr="00F34B5A">
        <w:rPr>
          <w:b/>
          <w:bCs/>
        </w:rPr>
        <w:t>benchmarks</w:t>
      </w:r>
      <w:proofErr w:type="gramEnd"/>
      <w:r w:rsidR="009C2857" w:rsidRPr="00F34B5A">
        <w:rPr>
          <w:b/>
          <w:bCs/>
        </w:rPr>
        <w:t xml:space="preserve"> and a timeframe, in consultation with representative organizations of persons with disabilities</w:t>
      </w:r>
      <w:r w:rsidR="00727CA9" w:rsidRPr="00F34B5A">
        <w:rPr>
          <w:b/>
          <w:bCs/>
        </w:rPr>
        <w:t xml:space="preserve"> across the territory of the State party</w:t>
      </w:r>
      <w:r w:rsidR="009C2857" w:rsidRPr="00F34B5A">
        <w:rPr>
          <w:b/>
          <w:bCs/>
        </w:rPr>
        <w:t>.</w:t>
      </w:r>
      <w:r w:rsidR="00441561" w:rsidRPr="00F34B5A">
        <w:t xml:space="preserve">   </w:t>
      </w:r>
    </w:p>
    <w:p w14:paraId="0DFAE788" w14:textId="715790B4" w:rsidR="008B303F" w:rsidRPr="00F34B5A" w:rsidRDefault="009C2857" w:rsidP="009C2857">
      <w:pPr>
        <w:pStyle w:val="SingleTxtG"/>
      </w:pPr>
      <w:r w:rsidRPr="00F34B5A">
        <w:t>9.</w:t>
      </w:r>
      <w:r w:rsidRPr="00F34B5A">
        <w:tab/>
        <w:t xml:space="preserve">The Committee </w:t>
      </w:r>
      <w:r w:rsidR="00020515" w:rsidRPr="00F34B5A">
        <w:t>observes with concern</w:t>
      </w:r>
      <w:r w:rsidR="008B303F" w:rsidRPr="00F34B5A">
        <w:t>:</w:t>
      </w:r>
    </w:p>
    <w:p w14:paraId="0655838F" w14:textId="5BD62A45" w:rsidR="00C97C35" w:rsidRPr="00F34B5A" w:rsidRDefault="008B303F" w:rsidP="008B303F">
      <w:pPr>
        <w:pStyle w:val="SingleTxtG"/>
        <w:ind w:firstLine="567"/>
      </w:pPr>
      <w:r w:rsidRPr="00F34B5A">
        <w:t>(a)</w:t>
      </w:r>
      <w:r w:rsidRPr="00F34B5A">
        <w:tab/>
      </w:r>
      <w:r w:rsidR="00C97C35" w:rsidRPr="00F34B5A">
        <w:t>Th</w:t>
      </w:r>
      <w:r w:rsidR="00D76BFD" w:rsidRPr="00F34B5A">
        <w:t xml:space="preserve">e </w:t>
      </w:r>
      <w:r w:rsidR="00CB5B70" w:rsidRPr="00F34B5A">
        <w:t xml:space="preserve">lack of provisions to ensure access to </w:t>
      </w:r>
      <w:r w:rsidR="004A1F68" w:rsidRPr="00F34B5A">
        <w:t xml:space="preserve">national </w:t>
      </w:r>
      <w:r w:rsidR="00CB5B70" w:rsidRPr="00F34B5A">
        <w:t xml:space="preserve">public funds by </w:t>
      </w:r>
      <w:r w:rsidR="00D76BFD" w:rsidRPr="00F34B5A">
        <w:t>organizations of persons with disabilities</w:t>
      </w:r>
      <w:r w:rsidR="00CB5B70" w:rsidRPr="00F34B5A">
        <w:t xml:space="preserve"> </w:t>
      </w:r>
      <w:r w:rsidR="004F4FA5" w:rsidRPr="00F34B5A">
        <w:t>that</w:t>
      </w:r>
      <w:r w:rsidR="00CB5B70" w:rsidRPr="00F34B5A">
        <w:t xml:space="preserve"> mainly</w:t>
      </w:r>
      <w:r w:rsidR="004F4FA5" w:rsidRPr="00F34B5A">
        <w:t xml:space="preserve"> </w:t>
      </w:r>
      <w:r w:rsidR="00C97C35" w:rsidRPr="00F34B5A">
        <w:t xml:space="preserve">rely on international cooperation to </w:t>
      </w:r>
      <w:r w:rsidR="004F4FA5" w:rsidRPr="00F34B5A">
        <w:t xml:space="preserve">function and to carry out their advocacy </w:t>
      </w:r>
      <w:proofErr w:type="gramStart"/>
      <w:r w:rsidR="004F4FA5" w:rsidRPr="00F34B5A">
        <w:t>work</w:t>
      </w:r>
      <w:r w:rsidR="00923421" w:rsidRPr="00F34B5A">
        <w:t>;</w:t>
      </w:r>
      <w:proofErr w:type="gramEnd"/>
      <w:r w:rsidR="00923421" w:rsidRPr="00F34B5A">
        <w:t xml:space="preserve"> </w:t>
      </w:r>
    </w:p>
    <w:p w14:paraId="492E5F0D" w14:textId="73DE72EE" w:rsidR="009C2857" w:rsidRPr="00F34B5A" w:rsidRDefault="00C97C35" w:rsidP="008B303F">
      <w:pPr>
        <w:pStyle w:val="SingleTxtG"/>
        <w:ind w:firstLine="567"/>
      </w:pPr>
      <w:bookmarkStart w:id="0" w:name="_Hlk129684660"/>
      <w:r w:rsidRPr="00F34B5A">
        <w:t>(</w:t>
      </w:r>
      <w:r w:rsidR="004F4FA5" w:rsidRPr="00F34B5A">
        <w:t>b)</w:t>
      </w:r>
      <w:r w:rsidR="004F4FA5" w:rsidRPr="00F34B5A">
        <w:tab/>
      </w:r>
      <w:r w:rsidR="008862C7" w:rsidRPr="00F34B5A">
        <w:t>Th</w:t>
      </w:r>
      <w:r w:rsidR="005074EC" w:rsidRPr="00F34B5A">
        <w:t xml:space="preserve">e </w:t>
      </w:r>
      <w:r w:rsidR="00F853A3" w:rsidRPr="00F34B5A">
        <w:t xml:space="preserve">unsystematic </w:t>
      </w:r>
      <w:r w:rsidR="008862C7" w:rsidRPr="00F34B5A">
        <w:t>i</w:t>
      </w:r>
      <w:r w:rsidR="00020515" w:rsidRPr="00F34B5A">
        <w:t>nvolvement of organizations of persons with disabilities in measures to implement the Convention</w:t>
      </w:r>
      <w:r w:rsidR="008B303F" w:rsidRPr="00F34B5A">
        <w:t xml:space="preserve"> and other matters related to persons with disabilities</w:t>
      </w:r>
      <w:r w:rsidR="00020515" w:rsidRPr="00F34B5A">
        <w:t xml:space="preserve"> </w:t>
      </w:r>
      <w:r w:rsidR="008B303F" w:rsidRPr="00F34B5A">
        <w:lastRenderedPageBreak/>
        <w:t>across state entities and at the municipal level</w:t>
      </w:r>
      <w:r w:rsidR="00C653B6" w:rsidRPr="00F34B5A">
        <w:t xml:space="preserve"> and </w:t>
      </w:r>
      <w:r w:rsidR="00C653B6" w:rsidRPr="00F34B5A">
        <w:rPr>
          <w:rFonts w:eastAsia="Malgun Gothic"/>
          <w:lang w:eastAsia="ko-KR"/>
        </w:rPr>
        <w:t xml:space="preserve">information about recommendations from organizations of persons with disabilities being overlooked during </w:t>
      </w:r>
      <w:proofErr w:type="gramStart"/>
      <w:r w:rsidR="00C653B6" w:rsidRPr="00F34B5A">
        <w:rPr>
          <w:rFonts w:eastAsia="Malgun Gothic"/>
          <w:lang w:eastAsia="ko-KR"/>
        </w:rPr>
        <w:t>consultations</w:t>
      </w:r>
      <w:r w:rsidR="000223E1" w:rsidRPr="00F34B5A">
        <w:t>;</w:t>
      </w:r>
      <w:proofErr w:type="gramEnd"/>
    </w:p>
    <w:bookmarkEnd w:id="0"/>
    <w:p w14:paraId="7563912D" w14:textId="6CBE67DA" w:rsidR="002743EA" w:rsidRPr="00F34B5A" w:rsidRDefault="008B303F" w:rsidP="008B303F">
      <w:pPr>
        <w:pStyle w:val="SingleTxtG"/>
        <w:ind w:firstLine="567"/>
      </w:pPr>
      <w:r w:rsidRPr="00F34B5A">
        <w:t>(</w:t>
      </w:r>
      <w:r w:rsidR="004F4FA5" w:rsidRPr="00F34B5A">
        <w:t>c</w:t>
      </w:r>
      <w:r w:rsidRPr="00F34B5A">
        <w:t>)</w:t>
      </w:r>
      <w:r w:rsidRPr="00F34B5A">
        <w:tab/>
      </w:r>
      <w:r w:rsidR="008862C7" w:rsidRPr="00F34B5A">
        <w:t>That o</w:t>
      </w:r>
      <w:r w:rsidR="002743EA" w:rsidRPr="00F34B5A">
        <w:t xml:space="preserve">rganizations of service providers </w:t>
      </w:r>
      <w:r w:rsidR="008862C7" w:rsidRPr="00F34B5A">
        <w:t>prevail</w:t>
      </w:r>
      <w:r w:rsidR="002743EA" w:rsidRPr="00F34B5A">
        <w:t xml:space="preserve"> </w:t>
      </w:r>
      <w:r w:rsidR="00C70EF6" w:rsidRPr="00F34B5A">
        <w:t>in</w:t>
      </w:r>
      <w:r w:rsidR="002743EA" w:rsidRPr="00F34B5A">
        <w:t xml:space="preserve"> government</w:t>
      </w:r>
      <w:r w:rsidR="00C70EF6" w:rsidRPr="00F34B5A">
        <w:t>’s</w:t>
      </w:r>
      <w:r w:rsidR="002743EA" w:rsidRPr="00F34B5A">
        <w:t xml:space="preserve"> consultative</w:t>
      </w:r>
      <w:r w:rsidR="008862C7" w:rsidRPr="00F34B5A">
        <w:t xml:space="preserve"> </w:t>
      </w:r>
      <w:r w:rsidR="00C653B6" w:rsidRPr="00F34B5A">
        <w:t xml:space="preserve">mechanisms, </w:t>
      </w:r>
      <w:r w:rsidR="00C70EF6" w:rsidRPr="00F34B5A">
        <w:t xml:space="preserve">in which </w:t>
      </w:r>
      <w:r w:rsidR="00C653B6" w:rsidRPr="00F34B5A">
        <w:t xml:space="preserve">they </w:t>
      </w:r>
      <w:r w:rsidR="00C70EF6" w:rsidRPr="00F34B5A">
        <w:rPr>
          <w:rFonts w:eastAsia="Malgun Gothic"/>
          <w:lang w:eastAsia="ko-KR"/>
        </w:rPr>
        <w:t xml:space="preserve">regularly hold the majority in respective votes </w:t>
      </w:r>
      <w:r w:rsidR="002743EA" w:rsidRPr="00F34B5A">
        <w:t>to the detriment of gras</w:t>
      </w:r>
      <w:r w:rsidRPr="00F34B5A">
        <w:t>s-roots organizations of persons with disabilities</w:t>
      </w:r>
      <w:r w:rsidR="00C653B6" w:rsidRPr="00F34B5A">
        <w:t xml:space="preserve">, </w:t>
      </w:r>
      <w:r w:rsidRPr="00F34B5A">
        <w:t xml:space="preserve">organizations of women with disabilities and organizations of children and young persons with </w:t>
      </w:r>
      <w:proofErr w:type="gramStart"/>
      <w:r w:rsidRPr="00F34B5A">
        <w:t>disabilities</w:t>
      </w:r>
      <w:r w:rsidR="002743EA" w:rsidRPr="00F34B5A">
        <w:t>;</w:t>
      </w:r>
      <w:proofErr w:type="gramEnd"/>
      <w:r w:rsidRPr="00F34B5A">
        <w:t xml:space="preserve"> </w:t>
      </w:r>
    </w:p>
    <w:p w14:paraId="1EA3CB20" w14:textId="0FAD2B8E" w:rsidR="008B303F" w:rsidRPr="00F34B5A" w:rsidRDefault="002743EA" w:rsidP="008B303F">
      <w:pPr>
        <w:pStyle w:val="SingleTxtG"/>
        <w:ind w:firstLine="567"/>
      </w:pPr>
      <w:r w:rsidRPr="00F34B5A">
        <w:t>(</w:t>
      </w:r>
      <w:r w:rsidR="004F4FA5" w:rsidRPr="00F34B5A">
        <w:t>d</w:t>
      </w:r>
      <w:r w:rsidRPr="00F34B5A">
        <w:t>)</w:t>
      </w:r>
      <w:r w:rsidRPr="00F34B5A">
        <w:tab/>
      </w:r>
      <w:r w:rsidR="008862C7" w:rsidRPr="00F34B5A">
        <w:t xml:space="preserve">The absence of accessible information, </w:t>
      </w:r>
      <w:r w:rsidR="00C653B6" w:rsidRPr="00F34B5A">
        <w:t xml:space="preserve">disability </w:t>
      </w:r>
      <w:r w:rsidR="008862C7" w:rsidRPr="00F34B5A">
        <w:t xml:space="preserve">inclusive methodologies, </w:t>
      </w:r>
      <w:r w:rsidR="0093616B" w:rsidRPr="00F34B5A">
        <w:t xml:space="preserve">and </w:t>
      </w:r>
      <w:r w:rsidR="008862C7" w:rsidRPr="00F34B5A">
        <w:t xml:space="preserve">human, technical and financial resources for conducting periodic consultations including </w:t>
      </w:r>
      <w:r w:rsidR="00C653B6" w:rsidRPr="00F34B5A">
        <w:t xml:space="preserve">with </w:t>
      </w:r>
      <w:r w:rsidR="008862C7" w:rsidRPr="00F34B5A">
        <w:t>organizations of persons with intellectual disabilities.</w:t>
      </w:r>
    </w:p>
    <w:p w14:paraId="6F3E775E" w14:textId="1019A331" w:rsidR="004F30E3" w:rsidRPr="00F34B5A" w:rsidRDefault="004F30E3" w:rsidP="004F30E3">
      <w:pPr>
        <w:pStyle w:val="SingleTxtG"/>
        <w:rPr>
          <w:b/>
          <w:bCs/>
        </w:rPr>
      </w:pPr>
      <w:r w:rsidRPr="00F34B5A">
        <w:t>10.</w:t>
      </w:r>
      <w:r w:rsidRPr="00F34B5A">
        <w:tab/>
      </w:r>
      <w:r w:rsidR="005074EC" w:rsidRPr="00F34B5A">
        <w:rPr>
          <w:b/>
          <w:bCs/>
        </w:rPr>
        <w:t>With reference to its</w:t>
      </w:r>
      <w:r w:rsidR="005074EC" w:rsidRPr="00F34B5A">
        <w:t xml:space="preserve"> </w:t>
      </w:r>
      <w:r w:rsidR="005074EC" w:rsidRPr="00F34B5A">
        <w:rPr>
          <w:b/>
          <w:bCs/>
        </w:rPr>
        <w:t>General comment No. 7 (2018) on</w:t>
      </w:r>
      <w:r w:rsidR="00A346B8" w:rsidRPr="00F34B5A">
        <w:rPr>
          <w:b/>
          <w:bCs/>
        </w:rPr>
        <w:t xml:space="preserve"> the participation of persons with disabilities, including children with disabilities, through their representative organizations, in the implementation and monitoring of the Convention, </w:t>
      </w:r>
      <w:r w:rsidRPr="00F34B5A">
        <w:rPr>
          <w:b/>
          <w:bCs/>
        </w:rPr>
        <w:t>recommends that the State party:</w:t>
      </w:r>
    </w:p>
    <w:p w14:paraId="39D3633B" w14:textId="4DD97692" w:rsidR="00923421" w:rsidRPr="008931E4" w:rsidRDefault="004F4FA5" w:rsidP="005074EC">
      <w:pPr>
        <w:pStyle w:val="SingleTxtG"/>
        <w:ind w:firstLine="567"/>
        <w:rPr>
          <w:b/>
        </w:rPr>
      </w:pPr>
      <w:r w:rsidRPr="00F34B5A">
        <w:rPr>
          <w:b/>
        </w:rPr>
        <w:t>(a)</w:t>
      </w:r>
      <w:r w:rsidRPr="00F34B5A">
        <w:rPr>
          <w:b/>
        </w:rPr>
        <w:tab/>
      </w:r>
      <w:r w:rsidR="00E220C0" w:rsidRPr="00F34B5A">
        <w:rPr>
          <w:b/>
          <w:bCs/>
        </w:rPr>
        <w:t>Ensure the right of persons with disabilities to freedom of association, including by making</w:t>
      </w:r>
      <w:r w:rsidR="00671C27" w:rsidRPr="00F34B5A">
        <w:rPr>
          <w:b/>
          <w:bCs/>
        </w:rPr>
        <w:t xml:space="preserve"> national</w:t>
      </w:r>
      <w:r w:rsidR="004A1F68" w:rsidRPr="00F34B5A">
        <w:rPr>
          <w:b/>
          <w:bCs/>
        </w:rPr>
        <w:t xml:space="preserve"> fund</w:t>
      </w:r>
      <w:r w:rsidR="00671C27" w:rsidRPr="00F34B5A">
        <w:rPr>
          <w:b/>
          <w:bCs/>
        </w:rPr>
        <w:t>s</w:t>
      </w:r>
      <w:r w:rsidR="004A1F68" w:rsidRPr="00F34B5A">
        <w:rPr>
          <w:b/>
          <w:bCs/>
        </w:rPr>
        <w:t xml:space="preserve"> available to all organizations of persons with disabilities, including organizations of women with disabilities and self-advocate organizations</w:t>
      </w:r>
      <w:r w:rsidR="00E220C0" w:rsidRPr="00F34B5A">
        <w:rPr>
          <w:b/>
          <w:bCs/>
        </w:rPr>
        <w:t>,</w:t>
      </w:r>
      <w:r w:rsidR="004A1F68" w:rsidRPr="00F34B5A">
        <w:rPr>
          <w:b/>
          <w:bCs/>
        </w:rPr>
        <w:t xml:space="preserve"> and </w:t>
      </w:r>
      <w:r w:rsidR="00E220C0" w:rsidRPr="00F34B5A">
        <w:rPr>
          <w:b/>
          <w:bCs/>
        </w:rPr>
        <w:t xml:space="preserve">guaranteeing </w:t>
      </w:r>
      <w:r w:rsidR="004A1F68" w:rsidRPr="00F34B5A">
        <w:rPr>
          <w:b/>
          <w:bCs/>
        </w:rPr>
        <w:t>th</w:t>
      </w:r>
      <w:r w:rsidR="00E220C0" w:rsidRPr="00F34B5A">
        <w:rPr>
          <w:b/>
          <w:bCs/>
        </w:rPr>
        <w:t>eir</w:t>
      </w:r>
      <w:r w:rsidR="004A1F68" w:rsidRPr="00F34B5A">
        <w:rPr>
          <w:b/>
          <w:bCs/>
        </w:rPr>
        <w:t xml:space="preserve"> right to seek and access </w:t>
      </w:r>
      <w:r w:rsidR="00E170C8" w:rsidRPr="00F34B5A">
        <w:rPr>
          <w:b/>
          <w:bCs/>
        </w:rPr>
        <w:t xml:space="preserve">legitimate </w:t>
      </w:r>
      <w:r w:rsidR="00923421" w:rsidRPr="00F34B5A">
        <w:rPr>
          <w:b/>
          <w:bCs/>
        </w:rPr>
        <w:t>foreign</w:t>
      </w:r>
      <w:r w:rsidR="00923421" w:rsidRPr="008931E4">
        <w:rPr>
          <w:b/>
          <w:bCs/>
        </w:rPr>
        <w:t xml:space="preserve"> </w:t>
      </w:r>
      <w:proofErr w:type="gramStart"/>
      <w:r w:rsidR="00923421" w:rsidRPr="008931E4">
        <w:rPr>
          <w:b/>
          <w:bCs/>
        </w:rPr>
        <w:t>funding;</w:t>
      </w:r>
      <w:proofErr w:type="gramEnd"/>
    </w:p>
    <w:p w14:paraId="4A764DE7" w14:textId="04AE742E" w:rsidR="004F30E3" w:rsidRPr="008931E4" w:rsidRDefault="005074EC" w:rsidP="00B14648">
      <w:pPr>
        <w:pStyle w:val="SingleTxtG"/>
        <w:ind w:firstLine="567"/>
        <w:rPr>
          <w:b/>
          <w:sz w:val="24"/>
          <w:szCs w:val="24"/>
          <w:lang w:val="en-US"/>
        </w:rPr>
      </w:pPr>
      <w:bookmarkStart w:id="1" w:name="_Hlk129684632"/>
      <w:r w:rsidRPr="008931E4">
        <w:rPr>
          <w:b/>
        </w:rPr>
        <w:t>(</w:t>
      </w:r>
      <w:r w:rsidR="004F4FA5" w:rsidRPr="008931E4">
        <w:rPr>
          <w:b/>
        </w:rPr>
        <w:t>b</w:t>
      </w:r>
      <w:r w:rsidRPr="008931E4">
        <w:rPr>
          <w:b/>
        </w:rPr>
        <w:t>)</w:t>
      </w:r>
      <w:r w:rsidRPr="008931E4">
        <w:rPr>
          <w:b/>
        </w:rPr>
        <w:tab/>
      </w:r>
      <w:r w:rsidR="00B14648" w:rsidRPr="008931E4">
        <w:rPr>
          <w:b/>
          <w:bCs/>
          <w:lang w:val="en-US"/>
        </w:rPr>
        <w:t>Introduce mandatory</w:t>
      </w:r>
      <w:r w:rsidR="00F853A3" w:rsidRPr="008931E4">
        <w:rPr>
          <w:b/>
          <w:bCs/>
          <w:lang w:val="en-US"/>
        </w:rPr>
        <w:t xml:space="preserve"> and regular</w:t>
      </w:r>
      <w:r w:rsidR="00B14648" w:rsidRPr="008931E4">
        <w:rPr>
          <w:b/>
          <w:bCs/>
          <w:lang w:val="en-US"/>
        </w:rPr>
        <w:t xml:space="preserve"> consultations with organizations of persons with disabilities </w:t>
      </w:r>
      <w:r w:rsidR="00B14648" w:rsidRPr="008931E4">
        <w:rPr>
          <w:b/>
          <w:bCs/>
        </w:rPr>
        <w:t xml:space="preserve">across all levels and sectors of the administration, </w:t>
      </w:r>
      <w:r w:rsidR="00B14648" w:rsidRPr="008931E4">
        <w:rPr>
          <w:b/>
          <w:bCs/>
          <w:lang w:val="en-US"/>
        </w:rPr>
        <w:t>based on transparency, mutual respect, meaningful dialogue and a sincere aim to reach collective agreement</w:t>
      </w:r>
      <w:r w:rsidR="00923421" w:rsidRPr="008931E4">
        <w:rPr>
          <w:b/>
          <w:bCs/>
          <w:lang w:val="en-US"/>
        </w:rPr>
        <w:t>s</w:t>
      </w:r>
      <w:r w:rsidR="00B14648" w:rsidRPr="008931E4">
        <w:rPr>
          <w:b/>
          <w:bCs/>
          <w:lang w:val="en-US"/>
        </w:rPr>
        <w:t xml:space="preserve"> on procedures that respond to the diversity of organizations led by persons with disabilities, allowing for reasonable and realistic timelines and giving due weight to persons with disabilities</w:t>
      </w:r>
      <w:r w:rsidR="00923421" w:rsidRPr="008931E4">
        <w:rPr>
          <w:b/>
          <w:bCs/>
          <w:lang w:val="en-US"/>
        </w:rPr>
        <w:t>’</w:t>
      </w:r>
      <w:r w:rsidR="00B14648" w:rsidRPr="008931E4">
        <w:rPr>
          <w:b/>
          <w:bCs/>
          <w:lang w:val="en-US"/>
        </w:rPr>
        <w:t xml:space="preserve"> views through the public decision-making process</w:t>
      </w:r>
      <w:r w:rsidR="00923421" w:rsidRPr="008931E4">
        <w:rPr>
          <w:b/>
          <w:sz w:val="24"/>
          <w:szCs w:val="24"/>
          <w:lang w:val="en-US"/>
        </w:rPr>
        <w:t>;</w:t>
      </w:r>
    </w:p>
    <w:bookmarkEnd w:id="1"/>
    <w:p w14:paraId="4A4BB770" w14:textId="063C2BBB" w:rsidR="004F30E3" w:rsidRPr="008931E4" w:rsidRDefault="005074EC" w:rsidP="00A346B8">
      <w:pPr>
        <w:pStyle w:val="SingleTxtG"/>
        <w:ind w:firstLine="567"/>
        <w:rPr>
          <w:b/>
          <w:bCs/>
        </w:rPr>
      </w:pPr>
      <w:r w:rsidRPr="008931E4">
        <w:rPr>
          <w:b/>
        </w:rPr>
        <w:t>(</w:t>
      </w:r>
      <w:r w:rsidR="004F4FA5" w:rsidRPr="008931E4">
        <w:rPr>
          <w:b/>
        </w:rPr>
        <w:t>c</w:t>
      </w:r>
      <w:r w:rsidRPr="008931E4">
        <w:rPr>
          <w:b/>
        </w:rPr>
        <w:t>)</w:t>
      </w:r>
      <w:r w:rsidRPr="008931E4">
        <w:rPr>
          <w:b/>
          <w:bCs/>
        </w:rPr>
        <w:tab/>
      </w:r>
      <w:r w:rsidR="00A346B8" w:rsidRPr="008931E4">
        <w:rPr>
          <w:b/>
          <w:bCs/>
        </w:rPr>
        <w:t xml:space="preserve">Prioritize involvement and consultation with </w:t>
      </w:r>
      <w:r w:rsidR="00C70EF6" w:rsidRPr="008931E4">
        <w:rPr>
          <w:b/>
          <w:bCs/>
        </w:rPr>
        <w:t xml:space="preserve">representative </w:t>
      </w:r>
      <w:r w:rsidR="00A346B8" w:rsidRPr="008931E4">
        <w:rPr>
          <w:b/>
          <w:bCs/>
        </w:rPr>
        <w:t>organizations of persons with disabilities</w:t>
      </w:r>
      <w:r w:rsidR="00C70EF6" w:rsidRPr="008931E4">
        <w:rPr>
          <w:b/>
          <w:bCs/>
        </w:rPr>
        <w:t xml:space="preserve"> </w:t>
      </w:r>
      <w:r w:rsidR="00A346B8" w:rsidRPr="008931E4">
        <w:rPr>
          <w:b/>
          <w:bCs/>
        </w:rPr>
        <w:t xml:space="preserve">in consultative bodies and mechanisms, providing due weight to their opinions, and ensuring participation of organizations of </w:t>
      </w:r>
      <w:r w:rsidR="004F30E3" w:rsidRPr="008931E4">
        <w:rPr>
          <w:b/>
          <w:bCs/>
        </w:rPr>
        <w:t>women and girls with disabilities</w:t>
      </w:r>
      <w:r w:rsidR="00C70EF6" w:rsidRPr="008931E4">
        <w:rPr>
          <w:b/>
          <w:bCs/>
        </w:rPr>
        <w:t xml:space="preserve"> and organizations of</w:t>
      </w:r>
      <w:r w:rsidR="004F30E3" w:rsidRPr="008931E4">
        <w:rPr>
          <w:b/>
          <w:bCs/>
        </w:rPr>
        <w:t xml:space="preserve"> persons </w:t>
      </w:r>
      <w:r w:rsidR="00A346B8" w:rsidRPr="008931E4">
        <w:rPr>
          <w:b/>
          <w:bCs/>
        </w:rPr>
        <w:t xml:space="preserve">with intellectual </w:t>
      </w:r>
      <w:proofErr w:type="gramStart"/>
      <w:r w:rsidR="00A346B8" w:rsidRPr="008931E4">
        <w:rPr>
          <w:b/>
          <w:bCs/>
        </w:rPr>
        <w:t>disabilities;</w:t>
      </w:r>
      <w:proofErr w:type="gramEnd"/>
    </w:p>
    <w:p w14:paraId="6CC47D18" w14:textId="4167A902" w:rsidR="00A346B8" w:rsidRPr="00502ECB" w:rsidRDefault="00A346B8" w:rsidP="00A346B8">
      <w:pPr>
        <w:pStyle w:val="SingleTxtG"/>
        <w:ind w:firstLine="567"/>
        <w:rPr>
          <w:b/>
          <w:bCs/>
        </w:rPr>
      </w:pPr>
      <w:r w:rsidRPr="008931E4">
        <w:rPr>
          <w:b/>
        </w:rPr>
        <w:t>(</w:t>
      </w:r>
      <w:r w:rsidR="004F4FA5" w:rsidRPr="008931E4">
        <w:rPr>
          <w:b/>
        </w:rPr>
        <w:t>d</w:t>
      </w:r>
      <w:r w:rsidRPr="008931E4">
        <w:rPr>
          <w:b/>
        </w:rPr>
        <w:t>)</w:t>
      </w:r>
      <w:r w:rsidRPr="008931E4">
        <w:rPr>
          <w:b/>
          <w:bCs/>
        </w:rPr>
        <w:tab/>
      </w:r>
      <w:r w:rsidR="00923421" w:rsidRPr="008931E4">
        <w:rPr>
          <w:b/>
          <w:bCs/>
        </w:rPr>
        <w:t xml:space="preserve">Allot </w:t>
      </w:r>
      <w:r w:rsidRPr="008931E4">
        <w:rPr>
          <w:b/>
          <w:bCs/>
        </w:rPr>
        <w:t xml:space="preserve">human, </w:t>
      </w:r>
      <w:proofErr w:type="gramStart"/>
      <w:r w:rsidRPr="008931E4">
        <w:rPr>
          <w:b/>
          <w:bCs/>
        </w:rPr>
        <w:t>technical</w:t>
      </w:r>
      <w:proofErr w:type="gramEnd"/>
      <w:r w:rsidRPr="008931E4">
        <w:rPr>
          <w:b/>
          <w:bCs/>
        </w:rPr>
        <w:t xml:space="preserve"> and financial resources to </w:t>
      </w:r>
      <w:r w:rsidR="0030708B" w:rsidRPr="008931E4">
        <w:rPr>
          <w:b/>
          <w:bCs/>
        </w:rPr>
        <w:t>conduct</w:t>
      </w:r>
      <w:r w:rsidRPr="008931E4">
        <w:rPr>
          <w:b/>
          <w:bCs/>
        </w:rPr>
        <w:t xml:space="preserve"> public consultations with representative</w:t>
      </w:r>
      <w:r w:rsidRPr="00502ECB">
        <w:rPr>
          <w:b/>
          <w:bCs/>
        </w:rPr>
        <w:t xml:space="preserve"> organizations of persons with disabiliti</w:t>
      </w:r>
      <w:r w:rsidR="0030708B" w:rsidRPr="00502ECB">
        <w:rPr>
          <w:b/>
          <w:bCs/>
        </w:rPr>
        <w:t xml:space="preserve">es, develop accessible methodologies </w:t>
      </w:r>
      <w:r w:rsidR="00923421" w:rsidRPr="00502ECB">
        <w:rPr>
          <w:b/>
          <w:bCs/>
        </w:rPr>
        <w:t xml:space="preserve">for </w:t>
      </w:r>
      <w:r w:rsidR="0030708B" w:rsidRPr="00502ECB">
        <w:rPr>
          <w:b/>
          <w:bCs/>
        </w:rPr>
        <w:t xml:space="preserve">consultation and information tools, including in Easy Read, </w:t>
      </w:r>
      <w:r w:rsidR="00F2035F">
        <w:rPr>
          <w:b/>
          <w:bCs/>
        </w:rPr>
        <w:t xml:space="preserve">provide sufficient time </w:t>
      </w:r>
      <w:r w:rsidR="0030708B" w:rsidRPr="00F2035F">
        <w:rPr>
          <w:b/>
          <w:bCs/>
        </w:rPr>
        <w:t>for informed decision-making</w:t>
      </w:r>
      <w:r w:rsidR="0030708B" w:rsidRPr="00502ECB">
        <w:rPr>
          <w:b/>
          <w:bCs/>
        </w:rPr>
        <w:t xml:space="preserve">, and </w:t>
      </w:r>
      <w:r w:rsidR="00923421" w:rsidRPr="00502ECB">
        <w:rPr>
          <w:b/>
          <w:bCs/>
        </w:rPr>
        <w:t xml:space="preserve">establish </w:t>
      </w:r>
      <w:r w:rsidR="0030708B" w:rsidRPr="00502ECB">
        <w:rPr>
          <w:b/>
          <w:bCs/>
        </w:rPr>
        <w:t>capacity building</w:t>
      </w:r>
      <w:r w:rsidR="00923421" w:rsidRPr="00502ECB">
        <w:rPr>
          <w:b/>
          <w:bCs/>
        </w:rPr>
        <w:t xml:space="preserve"> programmes</w:t>
      </w:r>
      <w:r w:rsidR="0030708B" w:rsidRPr="00502ECB">
        <w:rPr>
          <w:b/>
          <w:bCs/>
        </w:rPr>
        <w:t xml:space="preserve"> of public officers and persons with disabilities participating in </w:t>
      </w:r>
      <w:r w:rsidR="00923421" w:rsidRPr="00502ECB">
        <w:rPr>
          <w:b/>
          <w:bCs/>
        </w:rPr>
        <w:t xml:space="preserve">consultative </w:t>
      </w:r>
      <w:r w:rsidR="0030708B" w:rsidRPr="00502ECB">
        <w:rPr>
          <w:b/>
          <w:bCs/>
        </w:rPr>
        <w:t xml:space="preserve">procedures.  </w:t>
      </w:r>
      <w:r w:rsidRPr="00502ECB">
        <w:rPr>
          <w:b/>
          <w:bCs/>
        </w:rPr>
        <w:t xml:space="preserve"> </w:t>
      </w:r>
    </w:p>
    <w:p w14:paraId="1688A7A2" w14:textId="77777777" w:rsidR="004F4FA5" w:rsidRPr="00502ECB" w:rsidRDefault="004F4FA5" w:rsidP="004F4FA5">
      <w:pPr>
        <w:pStyle w:val="H1G"/>
        <w:outlineLvl w:val="1"/>
      </w:pPr>
      <w:r w:rsidRPr="00502ECB">
        <w:tab/>
        <w:t>B.</w:t>
      </w:r>
      <w:r w:rsidRPr="00502ECB">
        <w:tab/>
        <w:t>Specific rights (arts. 5–30)</w:t>
      </w:r>
    </w:p>
    <w:p w14:paraId="13939CDD" w14:textId="77777777" w:rsidR="004F4FA5" w:rsidRPr="00502ECB" w:rsidRDefault="004F4FA5" w:rsidP="004F4FA5">
      <w:pPr>
        <w:pStyle w:val="H23G"/>
        <w:outlineLvl w:val="2"/>
      </w:pPr>
      <w:r w:rsidRPr="00502ECB">
        <w:tab/>
      </w:r>
      <w:r w:rsidRPr="00502ECB">
        <w:tab/>
        <w:t>Equality and non-discrimination (art. 5)</w:t>
      </w:r>
    </w:p>
    <w:p w14:paraId="20F587CE" w14:textId="236B4F9C" w:rsidR="004F4FA5" w:rsidRPr="00502ECB" w:rsidRDefault="004F4FA5" w:rsidP="004F4FA5">
      <w:pPr>
        <w:pStyle w:val="SingleTxtG"/>
      </w:pPr>
      <w:r w:rsidRPr="00502ECB">
        <w:t>11.</w:t>
      </w:r>
      <w:r w:rsidRPr="00502ECB">
        <w:tab/>
        <w:t xml:space="preserve">The Committee is concerned </w:t>
      </w:r>
      <w:r w:rsidR="000F209A" w:rsidRPr="00502ECB">
        <w:t>about</w:t>
      </w:r>
      <w:r w:rsidRPr="00502ECB">
        <w:t>:</w:t>
      </w:r>
    </w:p>
    <w:p w14:paraId="453B2718" w14:textId="2227519A" w:rsidR="006906E4" w:rsidRPr="00502ECB" w:rsidRDefault="004F4FA5" w:rsidP="008931E4">
      <w:pPr>
        <w:pStyle w:val="SingleTxtG"/>
        <w:ind w:firstLine="567"/>
      </w:pPr>
      <w:r w:rsidRPr="00502ECB">
        <w:tab/>
        <w:t>(a)</w:t>
      </w:r>
      <w:r w:rsidRPr="00502ECB">
        <w:tab/>
      </w:r>
      <w:r w:rsidR="006906E4" w:rsidRPr="00502ECB">
        <w:t xml:space="preserve">The lack of </w:t>
      </w:r>
      <w:r w:rsidR="00C86055" w:rsidRPr="00502ECB">
        <w:t xml:space="preserve">legislative and executive measures </w:t>
      </w:r>
      <w:r w:rsidR="006906E4" w:rsidRPr="00502ECB">
        <w:t>to give effect to</w:t>
      </w:r>
      <w:r w:rsidR="00C86055" w:rsidRPr="00502ECB">
        <w:t xml:space="preserve"> the</w:t>
      </w:r>
      <w:r w:rsidR="006906E4" w:rsidRPr="00502ECB">
        <w:t xml:space="preserve"> </w:t>
      </w:r>
      <w:r w:rsidR="00C86055" w:rsidRPr="00502ECB">
        <w:t>guarantees of</w:t>
      </w:r>
      <w:r w:rsidR="00315A75" w:rsidRPr="00502ECB">
        <w:t xml:space="preserve"> equality and the </w:t>
      </w:r>
      <w:r w:rsidR="00C86055" w:rsidRPr="00502ECB">
        <w:t>prohibition of</w:t>
      </w:r>
      <w:r w:rsidR="006906E4" w:rsidRPr="00502ECB">
        <w:t xml:space="preserve"> discrimination</w:t>
      </w:r>
      <w:r w:rsidR="00C86055" w:rsidRPr="00502ECB">
        <w:t xml:space="preserve"> of persons with disabilities</w:t>
      </w:r>
      <w:r w:rsidR="00315A75" w:rsidRPr="00502ECB">
        <w:t xml:space="preserve"> </w:t>
      </w:r>
      <w:r w:rsidR="00C86055" w:rsidRPr="00502ECB">
        <w:t xml:space="preserve">contained </w:t>
      </w:r>
      <w:r w:rsidR="006906E4" w:rsidRPr="00502ECB">
        <w:t>in the Law on the Rights of Persons with Disabilities</w:t>
      </w:r>
      <w:r w:rsidR="00C86055" w:rsidRPr="00502ECB">
        <w:t>,</w:t>
      </w:r>
      <w:r w:rsidR="00315A75" w:rsidRPr="00502ECB">
        <w:t xml:space="preserve"> and</w:t>
      </w:r>
      <w:r w:rsidR="00C86055" w:rsidRPr="00502ECB">
        <w:t xml:space="preserve"> about</w:t>
      </w:r>
      <w:r w:rsidR="00315A75" w:rsidRPr="00502ECB">
        <w:t xml:space="preserve"> insufficient </w:t>
      </w:r>
      <w:r w:rsidR="006906E4" w:rsidRPr="00502ECB">
        <w:t xml:space="preserve">enforcement mechanisms, including coordination of </w:t>
      </w:r>
      <w:proofErr w:type="gramStart"/>
      <w:r w:rsidR="006906E4" w:rsidRPr="00502ECB">
        <w:t>enforcement;</w:t>
      </w:r>
      <w:proofErr w:type="gramEnd"/>
    </w:p>
    <w:p w14:paraId="7ECEC4F1" w14:textId="2BDD1B43" w:rsidR="006906E4" w:rsidRPr="00502ECB" w:rsidRDefault="00315A75" w:rsidP="00315A75">
      <w:pPr>
        <w:pStyle w:val="SingleTxtG"/>
        <w:ind w:firstLine="567"/>
      </w:pPr>
      <w:r w:rsidRPr="00502ECB">
        <w:t>(b</w:t>
      </w:r>
      <w:r w:rsidR="006906E4" w:rsidRPr="00502ECB">
        <w:t>)</w:t>
      </w:r>
      <w:r w:rsidR="006906E4" w:rsidRPr="00502ECB">
        <w:tab/>
      </w:r>
      <w:r w:rsidRPr="00502ECB">
        <w:t>T</w:t>
      </w:r>
      <w:r w:rsidR="006906E4" w:rsidRPr="00502ECB">
        <w:t xml:space="preserve">he </w:t>
      </w:r>
      <w:r w:rsidRPr="00502ECB">
        <w:t>absence</w:t>
      </w:r>
      <w:r w:rsidR="00C86055" w:rsidRPr="00502ECB">
        <w:t xml:space="preserve"> of provisions</w:t>
      </w:r>
      <w:r w:rsidRPr="00502ECB">
        <w:t xml:space="preserve"> in the </w:t>
      </w:r>
      <w:r w:rsidR="006906E4" w:rsidRPr="00502ECB">
        <w:t>Law on the Rights of Persons with Disabilities</w:t>
      </w:r>
      <w:r w:rsidR="00C86055" w:rsidRPr="00502ECB">
        <w:t xml:space="preserve"> accounting for the specific requirements of older persons with disab</w:t>
      </w:r>
      <w:r w:rsidR="00D14B4E" w:rsidRPr="00502ECB">
        <w:t>i</w:t>
      </w:r>
      <w:r w:rsidR="00C86055" w:rsidRPr="00502ECB">
        <w:t>lities</w:t>
      </w:r>
      <w:r w:rsidR="00945423" w:rsidRPr="00502ECB">
        <w:t xml:space="preserve">, and </w:t>
      </w:r>
      <w:r w:rsidR="00C86055" w:rsidRPr="00502ECB">
        <w:t xml:space="preserve">about </w:t>
      </w:r>
      <w:r w:rsidR="00945423" w:rsidRPr="00502ECB">
        <w:t xml:space="preserve">information </w:t>
      </w:r>
      <w:r w:rsidR="00C86055" w:rsidRPr="00502ECB">
        <w:rPr>
          <w:lang w:val="en-US"/>
        </w:rPr>
        <w:t>that</w:t>
      </w:r>
      <w:r w:rsidR="00945423" w:rsidRPr="00502ECB">
        <w:rPr>
          <w:lang w:val="en-US"/>
        </w:rPr>
        <w:t xml:space="preserve"> </w:t>
      </w:r>
      <w:r w:rsidR="00C86055" w:rsidRPr="00502ECB">
        <w:rPr>
          <w:lang w:val="en-US"/>
        </w:rPr>
        <w:t xml:space="preserve">older </w:t>
      </w:r>
      <w:r w:rsidR="00945423" w:rsidRPr="00502ECB">
        <w:rPr>
          <w:lang w:val="en-US"/>
        </w:rPr>
        <w:t xml:space="preserve">persons with disabilities </w:t>
      </w:r>
      <w:r w:rsidR="00C86055" w:rsidRPr="00502ECB">
        <w:rPr>
          <w:lang w:val="en-US"/>
        </w:rPr>
        <w:t xml:space="preserve">had </w:t>
      </w:r>
      <w:r w:rsidR="00945423" w:rsidRPr="00502ECB">
        <w:rPr>
          <w:lang w:val="en-US"/>
        </w:rPr>
        <w:t>to choose between social benefits for older persons or</w:t>
      </w:r>
      <w:r w:rsidR="00C86055" w:rsidRPr="00502ECB">
        <w:rPr>
          <w:lang w:val="en-US"/>
        </w:rPr>
        <w:t xml:space="preserve"> for</w:t>
      </w:r>
      <w:r w:rsidR="00945423" w:rsidRPr="00502ECB">
        <w:rPr>
          <w:lang w:val="en-US"/>
        </w:rPr>
        <w:t xml:space="preserve"> persons with disabilities during the COVID-19 </w:t>
      </w:r>
      <w:proofErr w:type="gramStart"/>
      <w:r w:rsidR="00945423" w:rsidRPr="00502ECB">
        <w:rPr>
          <w:lang w:val="en-US"/>
        </w:rPr>
        <w:t>pandemic</w:t>
      </w:r>
      <w:r w:rsidRPr="00502ECB">
        <w:t>;</w:t>
      </w:r>
      <w:proofErr w:type="gramEnd"/>
      <w:r w:rsidRPr="00502ECB">
        <w:t xml:space="preserve">  </w:t>
      </w:r>
    </w:p>
    <w:p w14:paraId="40BA625C" w14:textId="5DCD05AA" w:rsidR="00315A75" w:rsidRPr="00502ECB" w:rsidRDefault="00315A75" w:rsidP="00315A75">
      <w:pPr>
        <w:pStyle w:val="SingleTxtG"/>
        <w:ind w:firstLine="567"/>
      </w:pPr>
      <w:r w:rsidRPr="00502ECB">
        <w:t>(c)</w:t>
      </w:r>
      <w:r w:rsidRPr="00502ECB">
        <w:tab/>
        <w:t xml:space="preserve">De facto discrimination of persons with disabilities living in rural areas, </w:t>
      </w:r>
      <w:r w:rsidR="00C86055" w:rsidRPr="00502ECB">
        <w:t xml:space="preserve">mainly due to insufficient </w:t>
      </w:r>
      <w:r w:rsidRPr="00502ECB">
        <w:t>access to services in the community</w:t>
      </w:r>
      <w:r w:rsidR="002D6B47" w:rsidRPr="00502ECB">
        <w:t xml:space="preserve">, and </w:t>
      </w:r>
      <w:r w:rsidR="00C86055" w:rsidRPr="00502ECB">
        <w:t xml:space="preserve">about </w:t>
      </w:r>
      <w:r w:rsidRPr="00502ECB">
        <w:t xml:space="preserve">intersectional discrimination affecting </w:t>
      </w:r>
      <w:r w:rsidRPr="00D57414">
        <w:t>LGBT</w:t>
      </w:r>
      <w:r w:rsidR="00F2035F">
        <w:t>Q</w:t>
      </w:r>
      <w:r w:rsidRPr="00D57414">
        <w:t>I</w:t>
      </w:r>
      <w:r w:rsidRPr="00502ECB">
        <w:t xml:space="preserve"> persons with disabilities</w:t>
      </w:r>
      <w:r w:rsidR="00A26391" w:rsidRPr="00502ECB">
        <w:t>, including the</w:t>
      </w:r>
      <w:r w:rsidR="002D6B47" w:rsidRPr="00502ECB">
        <w:t xml:space="preserve"> absence of a normative framework recognising intersectional </w:t>
      </w:r>
      <w:proofErr w:type="gramStart"/>
      <w:r w:rsidR="002D6B47" w:rsidRPr="00502ECB">
        <w:t>discrimination;</w:t>
      </w:r>
      <w:proofErr w:type="gramEnd"/>
      <w:r w:rsidR="002D6B47" w:rsidRPr="00502ECB">
        <w:t xml:space="preserve"> </w:t>
      </w:r>
    </w:p>
    <w:p w14:paraId="4AE40394" w14:textId="5B09931B" w:rsidR="004F4FA5" w:rsidRPr="00502ECB" w:rsidRDefault="00730693" w:rsidP="00A47A8B">
      <w:pPr>
        <w:pStyle w:val="SingleTxtG"/>
        <w:ind w:firstLine="567"/>
      </w:pPr>
      <w:r w:rsidRPr="00502ECB">
        <w:lastRenderedPageBreak/>
        <w:t>(</w:t>
      </w:r>
      <w:r w:rsidR="00315A75" w:rsidRPr="00502ECB">
        <w:t>d</w:t>
      </w:r>
      <w:r w:rsidRPr="00502ECB">
        <w:t>)</w:t>
      </w:r>
      <w:r w:rsidRPr="00502ECB">
        <w:tab/>
      </w:r>
      <w:r w:rsidR="000F209A" w:rsidRPr="00502ECB">
        <w:t>The limited</w:t>
      </w:r>
      <w:r w:rsidR="00A26391" w:rsidRPr="00502ECB">
        <w:t xml:space="preserve"> often </w:t>
      </w:r>
      <w:r w:rsidR="00534992">
        <w:t>ad-hoc</w:t>
      </w:r>
      <w:r w:rsidR="00534992" w:rsidRPr="00502ECB">
        <w:t xml:space="preserve"> </w:t>
      </w:r>
      <w:r w:rsidR="00A26391" w:rsidRPr="00502ECB">
        <w:t xml:space="preserve">provision </w:t>
      </w:r>
      <w:r w:rsidR="000F209A" w:rsidRPr="00502ECB">
        <w:t xml:space="preserve">of reasonable accommodation in a broad range of areas, including in health, education, </w:t>
      </w:r>
      <w:proofErr w:type="gramStart"/>
      <w:r w:rsidR="000F209A" w:rsidRPr="00502ECB">
        <w:t>employment</w:t>
      </w:r>
      <w:proofErr w:type="gramEnd"/>
      <w:r w:rsidR="000F209A" w:rsidRPr="00502ECB">
        <w:t xml:space="preserve"> and access to services in the community</w:t>
      </w:r>
      <w:r w:rsidR="00315A75" w:rsidRPr="00502ECB">
        <w:t>.</w:t>
      </w:r>
    </w:p>
    <w:p w14:paraId="5319B126" w14:textId="5BA75D93" w:rsidR="00DC330A" w:rsidRPr="00502ECB" w:rsidRDefault="004F4FA5" w:rsidP="00DC330A">
      <w:pPr>
        <w:pStyle w:val="SingleTxtG"/>
        <w:rPr>
          <w:rFonts w:eastAsia="Calibri"/>
          <w:b/>
        </w:rPr>
      </w:pPr>
      <w:r w:rsidRPr="00502ECB">
        <w:rPr>
          <w:rFonts w:eastAsia="Calibri"/>
        </w:rPr>
        <w:t>12.</w:t>
      </w:r>
      <w:r w:rsidRPr="00502ECB">
        <w:rPr>
          <w:rFonts w:eastAsia="Calibri"/>
        </w:rPr>
        <w:tab/>
      </w:r>
      <w:r w:rsidRPr="00502ECB">
        <w:rPr>
          <w:rFonts w:eastAsia="Calibri"/>
          <w:b/>
        </w:rPr>
        <w:t>The Committee</w:t>
      </w:r>
      <w:r w:rsidRPr="00502ECB">
        <w:rPr>
          <w:b/>
        </w:rPr>
        <w:t xml:space="preserve">, </w:t>
      </w:r>
      <w:r w:rsidR="00A26391" w:rsidRPr="00502ECB">
        <w:rPr>
          <w:b/>
        </w:rPr>
        <w:t>taking note of</w:t>
      </w:r>
      <w:r w:rsidRPr="00502ECB">
        <w:rPr>
          <w:b/>
        </w:rPr>
        <w:t xml:space="preserve"> its general comment No. 6 (2018) on equality and non-discrimination, recommends that the State party:</w:t>
      </w:r>
    </w:p>
    <w:p w14:paraId="77C75ED3" w14:textId="3325F6A3" w:rsidR="00DC330A" w:rsidRPr="008931E4" w:rsidRDefault="00DC330A" w:rsidP="00AD0B56">
      <w:pPr>
        <w:pStyle w:val="SingleTxtG"/>
        <w:ind w:firstLine="567"/>
        <w:rPr>
          <w:rFonts w:eastAsia="Calibri"/>
          <w:b/>
          <w:bCs/>
        </w:rPr>
      </w:pPr>
      <w:r w:rsidRPr="008931E4">
        <w:rPr>
          <w:rFonts w:eastAsia="Calibri"/>
          <w:b/>
        </w:rPr>
        <w:t>(a)</w:t>
      </w:r>
      <w:r w:rsidRPr="008931E4">
        <w:rPr>
          <w:rFonts w:eastAsia="Calibri"/>
          <w:b/>
        </w:rPr>
        <w:tab/>
      </w:r>
      <w:r w:rsidR="00A26391" w:rsidRPr="008931E4">
        <w:rPr>
          <w:rFonts w:eastAsia="Calibri"/>
          <w:b/>
          <w:bCs/>
        </w:rPr>
        <w:t xml:space="preserve">Include </w:t>
      </w:r>
      <w:r w:rsidRPr="008931E4">
        <w:rPr>
          <w:rFonts w:eastAsia="Calibri"/>
          <w:b/>
          <w:bCs/>
        </w:rPr>
        <w:t xml:space="preserve">the right to equality and protection against discrimination of persons with disabilities in all </w:t>
      </w:r>
      <w:r w:rsidR="00A26391" w:rsidRPr="008931E4">
        <w:rPr>
          <w:rFonts w:eastAsia="Calibri"/>
          <w:b/>
          <w:bCs/>
        </w:rPr>
        <w:t xml:space="preserve">legislative and executive measures </w:t>
      </w:r>
      <w:r w:rsidR="00AD0B56" w:rsidRPr="008931E4">
        <w:rPr>
          <w:rFonts w:eastAsia="Calibri"/>
          <w:b/>
          <w:bCs/>
        </w:rPr>
        <w:t xml:space="preserve">and </w:t>
      </w:r>
      <w:r w:rsidR="00A26391" w:rsidRPr="008931E4">
        <w:rPr>
          <w:rFonts w:eastAsia="Calibri"/>
          <w:b/>
          <w:bCs/>
        </w:rPr>
        <w:t>establish</w:t>
      </w:r>
      <w:r w:rsidR="00AD0B56" w:rsidRPr="008931E4">
        <w:rPr>
          <w:rFonts w:eastAsia="Calibri"/>
          <w:b/>
          <w:bCs/>
        </w:rPr>
        <w:t xml:space="preserve"> </w:t>
      </w:r>
      <w:r w:rsidRPr="008931E4">
        <w:rPr>
          <w:rFonts w:eastAsia="Calibri"/>
          <w:b/>
          <w:bCs/>
        </w:rPr>
        <w:t xml:space="preserve">enforcement mechanisms for all legislation protecting persons with disabilities </w:t>
      </w:r>
      <w:r w:rsidR="00AD0B56" w:rsidRPr="008931E4">
        <w:rPr>
          <w:rFonts w:eastAsia="Calibri"/>
          <w:b/>
          <w:bCs/>
        </w:rPr>
        <w:t xml:space="preserve">against </w:t>
      </w:r>
      <w:r w:rsidRPr="008931E4">
        <w:rPr>
          <w:rFonts w:eastAsia="Calibri"/>
          <w:b/>
          <w:bCs/>
        </w:rPr>
        <w:t xml:space="preserve">unequal treatment and discrimination, </w:t>
      </w:r>
      <w:r w:rsidR="00A26391" w:rsidRPr="008931E4">
        <w:rPr>
          <w:rFonts w:eastAsia="Calibri"/>
          <w:b/>
          <w:bCs/>
        </w:rPr>
        <w:t xml:space="preserve">and endow </w:t>
      </w:r>
      <w:r w:rsidRPr="008931E4">
        <w:rPr>
          <w:rFonts w:eastAsia="Calibri"/>
          <w:b/>
          <w:bCs/>
        </w:rPr>
        <w:t>the</w:t>
      </w:r>
      <w:r w:rsidR="00A47A8B" w:rsidRPr="008931E4">
        <w:rPr>
          <w:rFonts w:eastAsia="Calibri"/>
          <w:b/>
          <w:bCs/>
        </w:rPr>
        <w:t xml:space="preserve">se mechanisms </w:t>
      </w:r>
      <w:r w:rsidRPr="008931E4">
        <w:rPr>
          <w:rFonts w:eastAsia="Calibri"/>
          <w:b/>
          <w:bCs/>
        </w:rPr>
        <w:t>with sufficient financial</w:t>
      </w:r>
      <w:r w:rsidR="00A47A8B" w:rsidRPr="008931E4">
        <w:rPr>
          <w:rFonts w:eastAsia="Calibri"/>
          <w:b/>
          <w:bCs/>
        </w:rPr>
        <w:t xml:space="preserve"> resources</w:t>
      </w:r>
      <w:r w:rsidRPr="008931E4">
        <w:rPr>
          <w:rFonts w:eastAsia="Calibri"/>
          <w:b/>
          <w:bCs/>
        </w:rPr>
        <w:t xml:space="preserve"> and </w:t>
      </w:r>
      <w:proofErr w:type="gramStart"/>
      <w:r w:rsidRPr="008931E4">
        <w:rPr>
          <w:rFonts w:eastAsia="Calibri"/>
          <w:b/>
          <w:bCs/>
        </w:rPr>
        <w:t>personnel;</w:t>
      </w:r>
      <w:proofErr w:type="gramEnd"/>
    </w:p>
    <w:p w14:paraId="7CFF3E5F" w14:textId="195D5D49" w:rsidR="00AD0B56" w:rsidRPr="008931E4" w:rsidRDefault="00DC330A" w:rsidP="00DC330A">
      <w:pPr>
        <w:pStyle w:val="SingleTxtG"/>
        <w:ind w:firstLine="567"/>
        <w:rPr>
          <w:rFonts w:eastAsia="Calibri"/>
          <w:b/>
          <w:bCs/>
        </w:rPr>
      </w:pPr>
      <w:r w:rsidRPr="008931E4">
        <w:rPr>
          <w:rFonts w:eastAsia="Calibri"/>
          <w:b/>
        </w:rPr>
        <w:t>(</w:t>
      </w:r>
      <w:r w:rsidR="00AD0B56" w:rsidRPr="008931E4">
        <w:rPr>
          <w:rFonts w:eastAsia="Calibri"/>
          <w:b/>
        </w:rPr>
        <w:t>b</w:t>
      </w:r>
      <w:r w:rsidRPr="008931E4">
        <w:rPr>
          <w:rFonts w:eastAsia="Calibri"/>
          <w:b/>
        </w:rPr>
        <w:t>)</w:t>
      </w:r>
      <w:r w:rsidRPr="008931E4">
        <w:rPr>
          <w:rFonts w:eastAsia="Calibri"/>
          <w:b/>
          <w:bCs/>
        </w:rPr>
        <w:tab/>
      </w:r>
      <w:r w:rsidR="00AD0B56" w:rsidRPr="008931E4">
        <w:rPr>
          <w:rFonts w:eastAsia="Calibri"/>
          <w:b/>
          <w:bCs/>
        </w:rPr>
        <w:t xml:space="preserve">Amend the law on the Rights of Persons with Disabilities to </w:t>
      </w:r>
      <w:r w:rsidR="009917AF" w:rsidRPr="008931E4">
        <w:rPr>
          <w:rFonts w:eastAsia="Calibri"/>
          <w:b/>
          <w:bCs/>
        </w:rPr>
        <w:t xml:space="preserve">account for the specific requirements of </w:t>
      </w:r>
      <w:r w:rsidR="00AD0B56" w:rsidRPr="008931E4">
        <w:rPr>
          <w:rFonts w:eastAsia="Calibri"/>
          <w:b/>
          <w:bCs/>
        </w:rPr>
        <w:t>older persons with disabilities</w:t>
      </w:r>
      <w:r w:rsidR="00C70EF6" w:rsidRPr="008931E4">
        <w:rPr>
          <w:rFonts w:eastAsia="Calibri"/>
          <w:b/>
          <w:bCs/>
        </w:rPr>
        <w:t xml:space="preserve"> </w:t>
      </w:r>
      <w:proofErr w:type="gramStart"/>
      <w:r w:rsidR="00C70EF6" w:rsidRPr="008931E4">
        <w:rPr>
          <w:rFonts w:eastAsia="Calibri"/>
          <w:b/>
          <w:bCs/>
        </w:rPr>
        <w:t>therein</w:t>
      </w:r>
      <w:r w:rsidR="00412255" w:rsidRPr="008931E4">
        <w:rPr>
          <w:rFonts w:eastAsia="Calibri"/>
          <w:b/>
          <w:bCs/>
        </w:rPr>
        <w:t>;</w:t>
      </w:r>
      <w:proofErr w:type="gramEnd"/>
    </w:p>
    <w:p w14:paraId="0F989BC4" w14:textId="2DD07145" w:rsidR="00730693" w:rsidRPr="008931E4" w:rsidRDefault="00AD0B56" w:rsidP="002D6B47">
      <w:pPr>
        <w:pStyle w:val="SingleTxtG"/>
        <w:ind w:firstLine="567"/>
        <w:rPr>
          <w:b/>
        </w:rPr>
      </w:pPr>
      <w:r w:rsidRPr="008931E4">
        <w:rPr>
          <w:rFonts w:eastAsia="Calibri"/>
          <w:b/>
        </w:rPr>
        <w:t>(c)</w:t>
      </w:r>
      <w:r w:rsidRPr="008931E4">
        <w:rPr>
          <w:rFonts w:eastAsia="Calibri"/>
          <w:b/>
        </w:rPr>
        <w:tab/>
      </w:r>
      <w:r w:rsidR="002B412E" w:rsidRPr="008931E4">
        <w:rPr>
          <w:rFonts w:eastAsia="Calibri"/>
          <w:b/>
          <w:bCs/>
        </w:rPr>
        <w:t xml:space="preserve"> </w:t>
      </w:r>
      <w:r w:rsidR="00A26391" w:rsidRPr="008931E4">
        <w:rPr>
          <w:rFonts w:eastAsia="Calibri"/>
          <w:b/>
          <w:bCs/>
        </w:rPr>
        <w:t>Institute legislative and policy measures</w:t>
      </w:r>
      <w:r w:rsidR="002B412E" w:rsidRPr="008931E4">
        <w:rPr>
          <w:rFonts w:eastAsia="Calibri"/>
          <w:b/>
          <w:bCs/>
        </w:rPr>
        <w:t xml:space="preserve"> at the national and municipal levels aimed at addressing the situation of persons with disabilities living in rural areas</w:t>
      </w:r>
      <w:r w:rsidR="00A26391" w:rsidRPr="008931E4">
        <w:rPr>
          <w:rFonts w:eastAsia="Calibri"/>
          <w:b/>
          <w:bCs/>
        </w:rPr>
        <w:t>, including</w:t>
      </w:r>
      <w:r w:rsidR="00412255" w:rsidRPr="008931E4">
        <w:rPr>
          <w:rFonts w:eastAsia="Calibri"/>
          <w:b/>
          <w:bCs/>
        </w:rPr>
        <w:t xml:space="preserve"> </w:t>
      </w:r>
      <w:r w:rsidR="00E17BAF" w:rsidRPr="008931E4">
        <w:rPr>
          <w:rFonts w:eastAsia="Calibri"/>
          <w:b/>
          <w:bCs/>
        </w:rPr>
        <w:t xml:space="preserve">timebound targets and indicators of progress, and </w:t>
      </w:r>
      <w:r w:rsidR="002D6B47" w:rsidRPr="008931E4">
        <w:rPr>
          <w:b/>
          <w:bCs/>
        </w:rPr>
        <w:t xml:space="preserve">measures to combat discrimination against </w:t>
      </w:r>
      <w:r w:rsidR="00F2035F" w:rsidRPr="008931E4">
        <w:rPr>
          <w:b/>
          <w:bCs/>
        </w:rPr>
        <w:t xml:space="preserve">LGBTQI </w:t>
      </w:r>
      <w:r w:rsidR="00E17BAF" w:rsidRPr="008931E4">
        <w:rPr>
          <w:b/>
          <w:bCs/>
        </w:rPr>
        <w:t>persons</w:t>
      </w:r>
      <w:r w:rsidR="00945423" w:rsidRPr="008931E4">
        <w:rPr>
          <w:b/>
          <w:bCs/>
        </w:rPr>
        <w:t xml:space="preserve"> with </w:t>
      </w:r>
      <w:proofErr w:type="gramStart"/>
      <w:r w:rsidR="00945423" w:rsidRPr="008931E4">
        <w:rPr>
          <w:b/>
          <w:bCs/>
        </w:rPr>
        <w:t>disabilities</w:t>
      </w:r>
      <w:r w:rsidR="002D6B47" w:rsidRPr="008931E4">
        <w:rPr>
          <w:b/>
          <w:bCs/>
        </w:rPr>
        <w:t>;</w:t>
      </w:r>
      <w:proofErr w:type="gramEnd"/>
    </w:p>
    <w:p w14:paraId="0C0D9C00" w14:textId="09E0F7DC" w:rsidR="004F4FA5" w:rsidRPr="008931E4" w:rsidRDefault="00730693" w:rsidP="00730693">
      <w:pPr>
        <w:pStyle w:val="SingleTxtG"/>
        <w:ind w:firstLine="567"/>
        <w:rPr>
          <w:b/>
        </w:rPr>
      </w:pPr>
      <w:r w:rsidRPr="008931E4">
        <w:rPr>
          <w:rFonts w:eastAsia="Calibri"/>
          <w:b/>
          <w:bCs/>
        </w:rPr>
        <w:t>(</w:t>
      </w:r>
      <w:r w:rsidR="001E330B" w:rsidRPr="008931E4">
        <w:rPr>
          <w:rFonts w:eastAsia="Calibri"/>
          <w:b/>
          <w:bCs/>
        </w:rPr>
        <w:t>d</w:t>
      </w:r>
      <w:r w:rsidR="004F4FA5" w:rsidRPr="008931E4">
        <w:rPr>
          <w:rFonts w:eastAsia="Calibri"/>
          <w:b/>
          <w:bCs/>
        </w:rPr>
        <w:t>)</w:t>
      </w:r>
      <w:r w:rsidR="004F4FA5" w:rsidRPr="008931E4">
        <w:rPr>
          <w:rFonts w:eastAsia="Calibri"/>
          <w:b/>
        </w:rPr>
        <w:tab/>
      </w:r>
      <w:r w:rsidRPr="008931E4">
        <w:rPr>
          <w:rFonts w:eastAsia="Calibri"/>
          <w:b/>
        </w:rPr>
        <w:t xml:space="preserve">Adopt guidelines and </w:t>
      </w:r>
      <w:r w:rsidRPr="008931E4">
        <w:rPr>
          <w:b/>
        </w:rPr>
        <w:t>training</w:t>
      </w:r>
      <w:r w:rsidR="00D57414" w:rsidRPr="008931E4">
        <w:rPr>
          <w:b/>
        </w:rPr>
        <w:t>,</w:t>
      </w:r>
      <w:r w:rsidRPr="008931E4">
        <w:rPr>
          <w:b/>
        </w:rPr>
        <w:t xml:space="preserve"> </w:t>
      </w:r>
      <w:r w:rsidR="00D57414" w:rsidRPr="008931E4">
        <w:rPr>
          <w:b/>
        </w:rPr>
        <w:t xml:space="preserve">in close consultation with organizations of persons with disabilities, </w:t>
      </w:r>
      <w:r w:rsidRPr="008931E4">
        <w:rPr>
          <w:b/>
        </w:rPr>
        <w:t xml:space="preserve">for State and non-State actors </w:t>
      </w:r>
      <w:r w:rsidR="007551C1" w:rsidRPr="008931E4">
        <w:rPr>
          <w:b/>
        </w:rPr>
        <w:t>on</w:t>
      </w:r>
      <w:r w:rsidRPr="008931E4">
        <w:rPr>
          <w:b/>
        </w:rPr>
        <w:t xml:space="preserve"> their obligations </w:t>
      </w:r>
      <w:r w:rsidR="007551C1" w:rsidRPr="008931E4">
        <w:rPr>
          <w:b/>
        </w:rPr>
        <w:t>to provide</w:t>
      </w:r>
      <w:r w:rsidRPr="008931E4">
        <w:rPr>
          <w:b/>
        </w:rPr>
        <w:t xml:space="preserve"> reasonable accommodation</w:t>
      </w:r>
      <w:r w:rsidR="007551C1" w:rsidRPr="008931E4">
        <w:rPr>
          <w:b/>
        </w:rPr>
        <w:t>,</w:t>
      </w:r>
      <w:r w:rsidR="009917AF" w:rsidRPr="008931E4">
        <w:rPr>
          <w:b/>
        </w:rPr>
        <w:t xml:space="preserve"> </w:t>
      </w:r>
      <w:r w:rsidRPr="008931E4">
        <w:rPr>
          <w:b/>
        </w:rPr>
        <w:t>and</w:t>
      </w:r>
      <w:r w:rsidR="007551C1" w:rsidRPr="008931E4">
        <w:rPr>
          <w:b/>
        </w:rPr>
        <w:t xml:space="preserve"> particularly on</w:t>
      </w:r>
      <w:r w:rsidRPr="008931E4">
        <w:rPr>
          <w:b/>
        </w:rPr>
        <w:t xml:space="preserve"> the </w:t>
      </w:r>
      <w:r w:rsidR="007551C1" w:rsidRPr="008931E4">
        <w:rPr>
          <w:b/>
        </w:rPr>
        <w:t xml:space="preserve">application </w:t>
      </w:r>
      <w:r w:rsidRPr="008931E4">
        <w:rPr>
          <w:b/>
        </w:rPr>
        <w:t xml:space="preserve">of the concept of </w:t>
      </w:r>
      <w:r w:rsidR="000223E1" w:rsidRPr="008931E4">
        <w:rPr>
          <w:b/>
        </w:rPr>
        <w:t>“</w:t>
      </w:r>
      <w:r w:rsidRPr="008931E4">
        <w:rPr>
          <w:b/>
        </w:rPr>
        <w:t>a disproportionate or undue burden</w:t>
      </w:r>
      <w:r w:rsidR="007551C1" w:rsidRPr="008931E4">
        <w:rPr>
          <w:b/>
        </w:rPr>
        <w:t>”</w:t>
      </w:r>
      <w:r w:rsidRPr="008931E4">
        <w:rPr>
          <w:b/>
        </w:rPr>
        <w:t xml:space="preserve"> </w:t>
      </w:r>
      <w:r w:rsidR="0029382F" w:rsidRPr="008931E4">
        <w:rPr>
          <w:b/>
        </w:rPr>
        <w:t xml:space="preserve">as contained in article 2 of </w:t>
      </w:r>
      <w:r w:rsidR="007551C1" w:rsidRPr="008931E4">
        <w:rPr>
          <w:b/>
        </w:rPr>
        <w:t>the</w:t>
      </w:r>
      <w:r w:rsidRPr="008931E4">
        <w:rPr>
          <w:b/>
        </w:rPr>
        <w:t xml:space="preserve"> Convention</w:t>
      </w:r>
      <w:r w:rsidR="00335BFA" w:rsidRPr="008931E4">
        <w:rPr>
          <w:b/>
        </w:rPr>
        <w:t>.</w:t>
      </w:r>
    </w:p>
    <w:p w14:paraId="29BF181E" w14:textId="05999871" w:rsidR="00335BFA" w:rsidRPr="00502ECB" w:rsidRDefault="00335BFA" w:rsidP="00335BFA">
      <w:pPr>
        <w:pStyle w:val="H23G"/>
        <w:outlineLvl w:val="2"/>
      </w:pPr>
      <w:r w:rsidRPr="008931E4">
        <w:tab/>
      </w:r>
      <w:r w:rsidRPr="008931E4">
        <w:tab/>
        <w:t>Women with</w:t>
      </w:r>
      <w:r w:rsidRPr="00502ECB">
        <w:t xml:space="preserve"> disabilities (art. 6)</w:t>
      </w:r>
    </w:p>
    <w:p w14:paraId="230CFFF5" w14:textId="0BECB3CC" w:rsidR="00335BFA" w:rsidRPr="00502ECB" w:rsidRDefault="00335BFA" w:rsidP="00335BFA">
      <w:pPr>
        <w:pStyle w:val="SingleTxtG"/>
      </w:pPr>
      <w:r w:rsidRPr="00502ECB">
        <w:t>13.</w:t>
      </w:r>
      <w:r w:rsidRPr="00502ECB">
        <w:tab/>
        <w:t>The Committee is concerned about:</w:t>
      </w:r>
    </w:p>
    <w:p w14:paraId="0DDD2DC3" w14:textId="51064600" w:rsidR="00335BFA" w:rsidRPr="00502ECB" w:rsidRDefault="008931E4" w:rsidP="008931E4">
      <w:pPr>
        <w:pStyle w:val="SingleTxtG"/>
        <w:ind w:firstLine="567"/>
      </w:pPr>
      <w:r>
        <w:rPr>
          <w:rFonts w:eastAsia="Arial"/>
        </w:rPr>
        <w:tab/>
      </w:r>
      <w:r w:rsidR="00335BFA" w:rsidRPr="00502ECB">
        <w:rPr>
          <w:rFonts w:eastAsia="Arial"/>
        </w:rPr>
        <w:t>(a)</w:t>
      </w:r>
      <w:r w:rsidR="00335BFA" w:rsidRPr="00502ECB">
        <w:rPr>
          <w:rFonts w:eastAsia="Arial"/>
        </w:rPr>
        <w:tab/>
        <w:t xml:space="preserve">The </w:t>
      </w:r>
      <w:r w:rsidR="00C51545" w:rsidRPr="00502ECB">
        <w:rPr>
          <w:rFonts w:eastAsia="Arial"/>
        </w:rPr>
        <w:t>absence of disability perspectives</w:t>
      </w:r>
      <w:r w:rsidR="00335BFA" w:rsidRPr="00502ECB">
        <w:t xml:space="preserve"> in </w:t>
      </w:r>
      <w:r w:rsidR="00E52C38" w:rsidRPr="00502ECB">
        <w:t xml:space="preserve">the </w:t>
      </w:r>
      <w:r w:rsidR="00335BFA" w:rsidRPr="00502ECB">
        <w:t xml:space="preserve">Gender Equality </w:t>
      </w:r>
      <w:r w:rsidR="00C51545" w:rsidRPr="00502ECB">
        <w:t>L</w:t>
      </w:r>
      <w:r w:rsidR="00335BFA" w:rsidRPr="00502ECB">
        <w:t xml:space="preserve">aw and </w:t>
      </w:r>
      <w:r w:rsidR="00E52C38" w:rsidRPr="00502ECB">
        <w:t>of gender-based perspectives</w:t>
      </w:r>
      <w:r w:rsidR="00335BFA" w:rsidRPr="00502ECB">
        <w:t xml:space="preserve"> </w:t>
      </w:r>
      <w:r w:rsidR="00E52C38" w:rsidRPr="00502ECB">
        <w:t xml:space="preserve">in the </w:t>
      </w:r>
      <w:r w:rsidR="00335BFA" w:rsidRPr="00502ECB">
        <w:t xml:space="preserve">Law on Rights of Persons with </w:t>
      </w:r>
      <w:proofErr w:type="gramStart"/>
      <w:r w:rsidR="00335BFA" w:rsidRPr="00502ECB">
        <w:t>Disabilities;</w:t>
      </w:r>
      <w:proofErr w:type="gramEnd"/>
    </w:p>
    <w:p w14:paraId="0C26D15B" w14:textId="2E931826" w:rsidR="00EE7AB7" w:rsidRPr="00502ECB" w:rsidRDefault="00335BFA" w:rsidP="008931E4">
      <w:pPr>
        <w:pStyle w:val="SingleTxtG"/>
        <w:ind w:firstLine="567"/>
      </w:pPr>
      <w:r w:rsidRPr="00502ECB">
        <w:t>(b)</w:t>
      </w:r>
      <w:r w:rsidRPr="00502ECB">
        <w:tab/>
        <w:t>The lack of comprehensive data collection mechanisms</w:t>
      </w:r>
      <w:r w:rsidR="00EE7AB7" w:rsidRPr="00502ECB">
        <w:t xml:space="preserve"> aimed at identifying areas of discrimination and disadvantage of women and girls with disabilities</w:t>
      </w:r>
      <w:r w:rsidR="00C51545" w:rsidRPr="00502ECB">
        <w:t>,</w:t>
      </w:r>
      <w:r w:rsidR="00EE7AB7" w:rsidRPr="00502ECB">
        <w:t xml:space="preserve"> and </w:t>
      </w:r>
      <w:r w:rsidR="00E52C38" w:rsidRPr="00502ECB">
        <w:t xml:space="preserve">measures to </w:t>
      </w:r>
      <w:r w:rsidR="00EE7AB7" w:rsidRPr="00502ECB">
        <w:t xml:space="preserve">address all forms of discrimination affecting </w:t>
      </w:r>
      <w:proofErr w:type="gramStart"/>
      <w:r w:rsidR="00EE7AB7" w:rsidRPr="00502ECB">
        <w:t>them</w:t>
      </w:r>
      <w:r w:rsidRPr="00502ECB">
        <w:t>;</w:t>
      </w:r>
      <w:proofErr w:type="gramEnd"/>
      <w:r w:rsidRPr="00502ECB">
        <w:t xml:space="preserve"> </w:t>
      </w:r>
    </w:p>
    <w:p w14:paraId="30D892C3" w14:textId="0685F6D1" w:rsidR="00335BFA" w:rsidRPr="00502ECB" w:rsidRDefault="00EE7AB7" w:rsidP="008931E4">
      <w:pPr>
        <w:pStyle w:val="SingleTxtG"/>
        <w:ind w:firstLine="567"/>
      </w:pPr>
      <w:r w:rsidRPr="00502ECB">
        <w:t>(c)</w:t>
      </w:r>
      <w:r w:rsidR="00335BFA" w:rsidRPr="00502ECB">
        <w:tab/>
      </w:r>
      <w:r w:rsidR="00335BFA" w:rsidRPr="008931E4">
        <w:t>Th</w:t>
      </w:r>
      <w:r w:rsidRPr="008931E4">
        <w:t>e</w:t>
      </w:r>
      <w:r w:rsidRPr="00502ECB">
        <w:t xml:space="preserve"> absence of programmes and budgetary allocations at the municipal level </w:t>
      </w:r>
      <w:r w:rsidR="00C51545" w:rsidRPr="00502ECB">
        <w:t xml:space="preserve">for measures to protect </w:t>
      </w:r>
      <w:r w:rsidRPr="00502ECB">
        <w:t>women and girls with disabilities</w:t>
      </w:r>
      <w:r w:rsidR="00C51545" w:rsidRPr="00502ECB">
        <w:t xml:space="preserve"> from discrimination</w:t>
      </w:r>
      <w:r w:rsidRPr="00502ECB">
        <w:t xml:space="preserve"> and </w:t>
      </w:r>
      <w:r w:rsidR="00C51545" w:rsidRPr="00502ECB">
        <w:t xml:space="preserve">to foster </w:t>
      </w:r>
      <w:r w:rsidRPr="00502ECB">
        <w:t xml:space="preserve">their participation in the community and in society. </w:t>
      </w:r>
    </w:p>
    <w:p w14:paraId="2A2CA2AA" w14:textId="5D873AAD" w:rsidR="00EE7AB7" w:rsidRPr="00502ECB" w:rsidRDefault="00335BFA" w:rsidP="00EE7AB7">
      <w:pPr>
        <w:pStyle w:val="SingleTxtG"/>
        <w:rPr>
          <w:b/>
          <w:bCs/>
          <w:noProof/>
        </w:rPr>
      </w:pPr>
      <w:r w:rsidRPr="00502ECB">
        <w:rPr>
          <w:bCs/>
        </w:rPr>
        <w:t>14.</w:t>
      </w:r>
      <w:r w:rsidRPr="00502ECB">
        <w:rPr>
          <w:b/>
          <w:bCs/>
        </w:rPr>
        <w:tab/>
      </w:r>
      <w:r w:rsidRPr="00502ECB">
        <w:rPr>
          <w:rFonts w:eastAsia="Times New Roman"/>
          <w:b/>
          <w:bCs/>
        </w:rPr>
        <w:t xml:space="preserve">The Committee, </w:t>
      </w:r>
      <w:r w:rsidRPr="00502ECB">
        <w:rPr>
          <w:b/>
          <w:bCs/>
          <w:noProof/>
        </w:rPr>
        <w:t>recalling its general comment No. 3 (2016) on women and girls with disabilities, and targets 5.1, 5.2 and 5.5 of the Sustainable Development Goals, recommends that the State party:</w:t>
      </w:r>
    </w:p>
    <w:p w14:paraId="0D69194B" w14:textId="6487D7EA" w:rsidR="00EE7AB7" w:rsidRPr="008931E4" w:rsidRDefault="00EE7AB7" w:rsidP="00EE7AB7">
      <w:pPr>
        <w:pStyle w:val="SingleTxtG"/>
        <w:ind w:firstLine="567"/>
        <w:rPr>
          <w:rFonts w:eastAsia="Calibri"/>
          <w:b/>
          <w:bCs/>
        </w:rPr>
      </w:pPr>
      <w:r w:rsidRPr="008931E4">
        <w:rPr>
          <w:rFonts w:eastAsia="Calibri"/>
          <w:b/>
          <w:lang w:val="en-US"/>
        </w:rPr>
        <w:t>(a)</w:t>
      </w:r>
      <w:r w:rsidRPr="008931E4">
        <w:rPr>
          <w:rFonts w:eastAsia="Calibri"/>
          <w:b/>
          <w:bCs/>
          <w:lang w:val="en-US"/>
        </w:rPr>
        <w:tab/>
      </w:r>
      <w:r w:rsidRPr="008931E4">
        <w:rPr>
          <w:rFonts w:eastAsia="Calibri"/>
          <w:b/>
          <w:lang w:val="en-US"/>
        </w:rPr>
        <w:t xml:space="preserve">Mainstream </w:t>
      </w:r>
      <w:r w:rsidRPr="008931E4">
        <w:rPr>
          <w:rFonts w:eastAsia="Calibri"/>
          <w:b/>
        </w:rPr>
        <w:t>the rights of women and girls with disabilities</w:t>
      </w:r>
      <w:r w:rsidRPr="008931E4">
        <w:rPr>
          <w:rFonts w:eastAsia="Calibri"/>
          <w:b/>
          <w:lang w:val="en-US"/>
        </w:rPr>
        <w:t xml:space="preserve"> in </w:t>
      </w:r>
      <w:r w:rsidR="00843168" w:rsidRPr="008931E4">
        <w:rPr>
          <w:rFonts w:eastAsia="Calibri"/>
          <w:b/>
          <w:lang w:val="en-US"/>
        </w:rPr>
        <w:t xml:space="preserve">the implementation of </w:t>
      </w:r>
      <w:r w:rsidRPr="008931E4">
        <w:rPr>
          <w:rFonts w:eastAsia="Calibri"/>
          <w:b/>
          <w:lang w:val="en-US"/>
        </w:rPr>
        <w:t>the Law on Rights of Persons with Disabilities and the Gender Equality Law and</w:t>
      </w:r>
      <w:r w:rsidR="00843168" w:rsidRPr="008931E4">
        <w:rPr>
          <w:rFonts w:eastAsia="Calibri"/>
          <w:b/>
          <w:lang w:val="en-US"/>
        </w:rPr>
        <w:t xml:space="preserve"> in</w:t>
      </w:r>
      <w:r w:rsidRPr="008931E4">
        <w:rPr>
          <w:rFonts w:eastAsia="Calibri"/>
          <w:b/>
          <w:lang w:val="en-US"/>
        </w:rPr>
        <w:t xml:space="preserve"> the</w:t>
      </w:r>
      <w:r w:rsidR="00843168" w:rsidRPr="008931E4">
        <w:rPr>
          <w:rFonts w:eastAsia="Calibri"/>
          <w:b/>
          <w:lang w:val="en-US"/>
        </w:rPr>
        <w:t xml:space="preserve"> respective</w:t>
      </w:r>
      <w:r w:rsidRPr="008931E4">
        <w:rPr>
          <w:rFonts w:eastAsia="Calibri"/>
          <w:b/>
          <w:lang w:val="en-US"/>
        </w:rPr>
        <w:t xml:space="preserve"> strategies, policies and programs</w:t>
      </w:r>
      <w:r w:rsidR="00E52C38" w:rsidRPr="008931E4">
        <w:rPr>
          <w:rFonts w:eastAsia="Calibri"/>
          <w:b/>
          <w:lang w:val="en-US"/>
        </w:rPr>
        <w:t xml:space="preserve">, </w:t>
      </w:r>
      <w:r w:rsidR="00843168" w:rsidRPr="008931E4">
        <w:rPr>
          <w:rFonts w:eastAsia="Calibri"/>
          <w:b/>
          <w:lang w:val="en-US"/>
        </w:rPr>
        <w:t xml:space="preserve">to ensure </w:t>
      </w:r>
      <w:r w:rsidRPr="008931E4">
        <w:rPr>
          <w:rFonts w:eastAsia="Calibri"/>
          <w:b/>
          <w:lang w:val="en-US"/>
        </w:rPr>
        <w:t>that women and girls with disabilities</w:t>
      </w:r>
      <w:r w:rsidR="00843168" w:rsidRPr="008931E4">
        <w:rPr>
          <w:rFonts w:eastAsia="Calibri"/>
          <w:b/>
          <w:lang w:val="en-US"/>
        </w:rPr>
        <w:t xml:space="preserve"> can in fact</w:t>
      </w:r>
      <w:r w:rsidRPr="008931E4">
        <w:rPr>
          <w:rFonts w:eastAsia="Calibri"/>
          <w:b/>
          <w:lang w:val="en-US"/>
        </w:rPr>
        <w:t xml:space="preserve"> participate in decision-making processes at all </w:t>
      </w:r>
      <w:proofErr w:type="gramStart"/>
      <w:r w:rsidRPr="008931E4">
        <w:rPr>
          <w:rFonts w:eastAsia="Calibri"/>
          <w:b/>
          <w:lang w:val="en-US"/>
        </w:rPr>
        <w:t>levels;</w:t>
      </w:r>
      <w:proofErr w:type="gramEnd"/>
    </w:p>
    <w:p w14:paraId="13FC1B4E" w14:textId="164B684A" w:rsidR="00EE7AB7" w:rsidRPr="008931E4" w:rsidRDefault="00EE7AB7" w:rsidP="00EE7AB7">
      <w:pPr>
        <w:pStyle w:val="SingleTxtG"/>
        <w:ind w:firstLine="567"/>
        <w:rPr>
          <w:b/>
          <w:bCs/>
        </w:rPr>
      </w:pPr>
      <w:r w:rsidRPr="008931E4">
        <w:rPr>
          <w:b/>
        </w:rPr>
        <w:t>(b)</w:t>
      </w:r>
      <w:r w:rsidR="00945423" w:rsidRPr="008931E4">
        <w:rPr>
          <w:b/>
          <w:bCs/>
        </w:rPr>
        <w:tab/>
      </w:r>
      <w:r w:rsidR="00CD6905" w:rsidRPr="008931E4">
        <w:rPr>
          <w:b/>
          <w:bCs/>
        </w:rPr>
        <w:t>Promote</w:t>
      </w:r>
      <w:r w:rsidR="00F35974" w:rsidRPr="008931E4">
        <w:rPr>
          <w:b/>
          <w:bCs/>
        </w:rPr>
        <w:t xml:space="preserve"> research on the situation of women and girls with disabilities, </w:t>
      </w:r>
      <w:r w:rsidR="00CD6905" w:rsidRPr="008931E4">
        <w:rPr>
          <w:b/>
          <w:bCs/>
        </w:rPr>
        <w:t xml:space="preserve">include their concerns </w:t>
      </w:r>
      <w:r w:rsidR="00F35974" w:rsidRPr="008931E4">
        <w:rPr>
          <w:b/>
          <w:bCs/>
        </w:rPr>
        <w:t xml:space="preserve">in the collection of data </w:t>
      </w:r>
      <w:r w:rsidR="00CD6905" w:rsidRPr="008931E4">
        <w:rPr>
          <w:b/>
          <w:bCs/>
        </w:rPr>
        <w:t>on</w:t>
      </w:r>
      <w:r w:rsidR="00F35974" w:rsidRPr="008931E4">
        <w:rPr>
          <w:b/>
          <w:bCs/>
        </w:rPr>
        <w:t xml:space="preserve"> persons with disabilities and </w:t>
      </w:r>
      <w:r w:rsidR="00CD6905" w:rsidRPr="008931E4">
        <w:rPr>
          <w:b/>
          <w:bCs/>
        </w:rPr>
        <w:t xml:space="preserve">on </w:t>
      </w:r>
      <w:r w:rsidR="00F35974" w:rsidRPr="008931E4">
        <w:rPr>
          <w:b/>
          <w:bCs/>
        </w:rPr>
        <w:t>women in general</w:t>
      </w:r>
      <w:r w:rsidR="00CD6905" w:rsidRPr="008931E4">
        <w:rPr>
          <w:b/>
          <w:bCs/>
        </w:rPr>
        <w:t>,</w:t>
      </w:r>
      <w:r w:rsidR="00F35974" w:rsidRPr="008931E4">
        <w:rPr>
          <w:b/>
          <w:bCs/>
        </w:rPr>
        <w:t xml:space="preserve"> and </w:t>
      </w:r>
      <w:r w:rsidR="00CD6905" w:rsidRPr="008931E4">
        <w:rPr>
          <w:b/>
          <w:bCs/>
        </w:rPr>
        <w:t>actively involve</w:t>
      </w:r>
      <w:r w:rsidR="00F35974" w:rsidRPr="008931E4">
        <w:rPr>
          <w:b/>
          <w:bCs/>
        </w:rPr>
        <w:t xml:space="preserve"> representative organizations</w:t>
      </w:r>
      <w:r w:rsidR="00CD6905" w:rsidRPr="008931E4">
        <w:rPr>
          <w:b/>
          <w:bCs/>
        </w:rPr>
        <w:t xml:space="preserve"> of women and girls with disabilities</w:t>
      </w:r>
      <w:r w:rsidR="00F35974" w:rsidRPr="008931E4">
        <w:rPr>
          <w:b/>
          <w:bCs/>
        </w:rPr>
        <w:t xml:space="preserve"> in the design, implementation, monitoring and evaluation of </w:t>
      </w:r>
      <w:r w:rsidR="00CD6905" w:rsidRPr="008931E4">
        <w:rPr>
          <w:b/>
          <w:bCs/>
        </w:rPr>
        <w:t xml:space="preserve">these </w:t>
      </w:r>
      <w:proofErr w:type="gramStart"/>
      <w:r w:rsidR="00CD6905" w:rsidRPr="008931E4">
        <w:rPr>
          <w:b/>
          <w:bCs/>
        </w:rPr>
        <w:t>measures</w:t>
      </w:r>
      <w:r w:rsidR="00F35974" w:rsidRPr="008931E4">
        <w:rPr>
          <w:b/>
          <w:bCs/>
        </w:rPr>
        <w:t>;</w:t>
      </w:r>
      <w:proofErr w:type="gramEnd"/>
      <w:r w:rsidR="00F35974" w:rsidRPr="008931E4">
        <w:rPr>
          <w:b/>
          <w:bCs/>
        </w:rPr>
        <w:t xml:space="preserve"> </w:t>
      </w:r>
    </w:p>
    <w:p w14:paraId="49B036A2" w14:textId="2E546B93" w:rsidR="00EE7AB7" w:rsidRPr="00502ECB" w:rsidRDefault="00EE7AB7" w:rsidP="00EE7AB7">
      <w:pPr>
        <w:pStyle w:val="SingleTxtG"/>
        <w:ind w:firstLine="567"/>
        <w:rPr>
          <w:rFonts w:eastAsia="Calibri"/>
          <w:b/>
          <w:bCs/>
        </w:rPr>
      </w:pPr>
      <w:r w:rsidRPr="008931E4">
        <w:rPr>
          <w:rFonts w:eastAsia="Calibri"/>
          <w:b/>
          <w:lang w:val="en-US"/>
        </w:rPr>
        <w:t>(</w:t>
      </w:r>
      <w:r w:rsidR="00945423" w:rsidRPr="008931E4">
        <w:rPr>
          <w:rFonts w:eastAsia="Calibri"/>
          <w:b/>
          <w:lang w:val="en-US"/>
        </w:rPr>
        <w:t>c</w:t>
      </w:r>
      <w:r w:rsidRPr="008931E4">
        <w:rPr>
          <w:rFonts w:eastAsia="Calibri"/>
          <w:b/>
          <w:lang w:val="en-US"/>
        </w:rPr>
        <w:t>)</w:t>
      </w:r>
      <w:r w:rsidR="00945423" w:rsidRPr="008931E4">
        <w:rPr>
          <w:rFonts w:eastAsia="Calibri"/>
          <w:b/>
          <w:bCs/>
          <w:lang w:val="en-US"/>
        </w:rPr>
        <w:tab/>
      </w:r>
      <w:r w:rsidR="00945423" w:rsidRPr="00502ECB">
        <w:rPr>
          <w:rFonts w:eastAsia="Calibri"/>
          <w:b/>
          <w:lang w:val="en-US"/>
        </w:rPr>
        <w:t xml:space="preserve">Adopt </w:t>
      </w:r>
      <w:r w:rsidRPr="00502ECB">
        <w:rPr>
          <w:rFonts w:eastAsia="Calibri"/>
          <w:b/>
          <w:lang w:val="en-US"/>
        </w:rPr>
        <w:t>a strategy</w:t>
      </w:r>
      <w:r w:rsidR="00945423" w:rsidRPr="00502ECB">
        <w:rPr>
          <w:rFonts w:eastAsia="Calibri"/>
          <w:b/>
          <w:lang w:val="en-US"/>
        </w:rPr>
        <w:t>, in consultation with representative organizations of women with disabilities,</w:t>
      </w:r>
      <w:r w:rsidRPr="00502ECB">
        <w:rPr>
          <w:rFonts w:eastAsia="Calibri"/>
          <w:b/>
          <w:lang w:val="en-US"/>
        </w:rPr>
        <w:t xml:space="preserve"> to promote the advancement of women and girls with disabilities in all areas of life</w:t>
      </w:r>
      <w:r w:rsidR="00CD6905" w:rsidRPr="00502ECB">
        <w:rPr>
          <w:rFonts w:eastAsia="Calibri"/>
          <w:b/>
          <w:lang w:val="en-US"/>
        </w:rPr>
        <w:t>,</w:t>
      </w:r>
      <w:r w:rsidRPr="00502ECB">
        <w:rPr>
          <w:rFonts w:eastAsia="Calibri"/>
          <w:b/>
          <w:lang w:val="en-US"/>
        </w:rPr>
        <w:t xml:space="preserve"> including</w:t>
      </w:r>
      <w:r w:rsidR="00CD6905" w:rsidRPr="00502ECB">
        <w:rPr>
          <w:rFonts w:eastAsia="Calibri"/>
          <w:b/>
          <w:lang w:val="en-US"/>
        </w:rPr>
        <w:t xml:space="preserve"> </w:t>
      </w:r>
      <w:r w:rsidRPr="00502ECB">
        <w:rPr>
          <w:rFonts w:eastAsia="Calibri"/>
          <w:b/>
          <w:bCs/>
        </w:rPr>
        <w:t>sexual and reproductive health care and awareness</w:t>
      </w:r>
      <w:r w:rsidR="00CD6905" w:rsidRPr="00502ECB">
        <w:rPr>
          <w:rFonts w:eastAsia="Calibri"/>
          <w:b/>
          <w:bCs/>
        </w:rPr>
        <w:t>-raising</w:t>
      </w:r>
      <w:r w:rsidRPr="00502ECB">
        <w:rPr>
          <w:rFonts w:eastAsia="Calibri"/>
          <w:b/>
          <w:bCs/>
        </w:rPr>
        <w:t xml:space="preserve"> programmes.</w:t>
      </w:r>
    </w:p>
    <w:p w14:paraId="2663A9B4" w14:textId="7D2CAAF7" w:rsidR="009C5F1D" w:rsidRPr="00502ECB" w:rsidRDefault="009C5F1D" w:rsidP="009C5F1D">
      <w:pPr>
        <w:pStyle w:val="H23G"/>
        <w:outlineLvl w:val="2"/>
      </w:pPr>
      <w:r w:rsidRPr="00502ECB">
        <w:tab/>
      </w:r>
      <w:r w:rsidRPr="00502ECB">
        <w:tab/>
        <w:t>Children with disabilities (art. 7)</w:t>
      </w:r>
    </w:p>
    <w:p w14:paraId="58721F21" w14:textId="7D19D955" w:rsidR="009C5F1D" w:rsidRPr="00502ECB" w:rsidRDefault="009C5F1D" w:rsidP="009C5F1D">
      <w:pPr>
        <w:pStyle w:val="SingleTxtG"/>
      </w:pPr>
      <w:r w:rsidRPr="00502ECB">
        <w:t>15.</w:t>
      </w:r>
      <w:r w:rsidRPr="00502ECB">
        <w:tab/>
        <w:t>The Committee observes with concern:</w:t>
      </w:r>
    </w:p>
    <w:p w14:paraId="5CCD7033" w14:textId="264FA33F" w:rsidR="009C5F1D" w:rsidRPr="00502ECB" w:rsidRDefault="009C5F1D" w:rsidP="008931E4">
      <w:pPr>
        <w:pStyle w:val="SingleTxtG"/>
        <w:ind w:firstLine="567"/>
        <w:rPr>
          <w:lang w:val="en-US"/>
        </w:rPr>
      </w:pPr>
      <w:r w:rsidRPr="00502ECB">
        <w:lastRenderedPageBreak/>
        <w:tab/>
        <w:t>(a)</w:t>
      </w:r>
      <w:r w:rsidRPr="00502ECB">
        <w:tab/>
      </w:r>
      <w:r w:rsidR="007D68D7" w:rsidRPr="008931E4">
        <w:rPr>
          <w:lang w:val="en-US"/>
        </w:rPr>
        <w:t>That</w:t>
      </w:r>
      <w:r w:rsidRPr="00502ECB">
        <w:rPr>
          <w:lang w:val="en-US"/>
        </w:rPr>
        <w:t xml:space="preserve"> current disability assessment</w:t>
      </w:r>
      <w:r w:rsidR="003B1AF3" w:rsidRPr="00502ECB">
        <w:rPr>
          <w:lang w:val="en-US"/>
        </w:rPr>
        <w:t xml:space="preserve"> is</w:t>
      </w:r>
      <w:r w:rsidR="007D68D7" w:rsidRPr="00502ECB">
        <w:rPr>
          <w:lang w:val="en-US"/>
        </w:rPr>
        <w:t xml:space="preserve"> based on the medical model</w:t>
      </w:r>
      <w:r w:rsidR="003B1AF3" w:rsidRPr="00502ECB">
        <w:rPr>
          <w:lang w:val="en-US"/>
        </w:rPr>
        <w:t xml:space="preserve"> and</w:t>
      </w:r>
      <w:r w:rsidR="007D68D7" w:rsidRPr="00502ECB">
        <w:rPr>
          <w:lang w:val="en-US"/>
        </w:rPr>
        <w:t xml:space="preserve"> prevent</w:t>
      </w:r>
      <w:r w:rsidR="003B1AF3" w:rsidRPr="00502ECB">
        <w:rPr>
          <w:lang w:val="en-US"/>
        </w:rPr>
        <w:t>s</w:t>
      </w:r>
      <w:r w:rsidR="007D68D7" w:rsidRPr="00502ECB">
        <w:rPr>
          <w:lang w:val="en-US"/>
        </w:rPr>
        <w:t xml:space="preserve"> children with disabilities from access to individualized suppor</w:t>
      </w:r>
      <w:r w:rsidR="00FF5EEA" w:rsidRPr="00502ECB">
        <w:rPr>
          <w:lang w:val="en-US"/>
        </w:rPr>
        <w:t xml:space="preserve">t and equal access to services in the </w:t>
      </w:r>
      <w:proofErr w:type="gramStart"/>
      <w:r w:rsidR="00FF5EEA" w:rsidRPr="00502ECB">
        <w:rPr>
          <w:lang w:val="en-US"/>
        </w:rPr>
        <w:t>community</w:t>
      </w:r>
      <w:r w:rsidR="007D68D7" w:rsidRPr="00502ECB">
        <w:rPr>
          <w:lang w:val="en-US"/>
        </w:rPr>
        <w:t>;</w:t>
      </w:r>
      <w:proofErr w:type="gramEnd"/>
    </w:p>
    <w:p w14:paraId="00F5BFB8" w14:textId="00DF5791" w:rsidR="0040109B" w:rsidRPr="00502ECB" w:rsidRDefault="009C5F1D" w:rsidP="0040109B">
      <w:pPr>
        <w:pStyle w:val="SingleTxtG"/>
        <w:ind w:firstLine="567"/>
      </w:pPr>
      <w:r w:rsidRPr="00502ECB">
        <w:rPr>
          <w:lang w:val="en-US"/>
        </w:rPr>
        <w:t>(b)</w:t>
      </w:r>
      <w:r w:rsidRPr="00502ECB">
        <w:rPr>
          <w:lang w:val="en-US"/>
        </w:rPr>
        <w:tab/>
      </w:r>
      <w:r w:rsidR="003B1AF3" w:rsidRPr="00502ECB">
        <w:t xml:space="preserve">That public programs for children with disabilities are </w:t>
      </w:r>
      <w:r w:rsidR="00FF5EEA" w:rsidRPr="00502ECB">
        <w:t>limited</w:t>
      </w:r>
      <w:r w:rsidR="003B1AF3" w:rsidRPr="00502ECB">
        <w:t xml:space="preserve"> in their</w:t>
      </w:r>
      <w:r w:rsidR="00FF5EEA" w:rsidRPr="00502ECB">
        <w:t xml:space="preserve"> coverage, </w:t>
      </w:r>
      <w:r w:rsidR="0027149B">
        <w:t>disadvantaging</w:t>
      </w:r>
      <w:r w:rsidR="0027149B" w:rsidRPr="00502ECB">
        <w:t xml:space="preserve"> </w:t>
      </w:r>
      <w:r w:rsidR="00FF5EEA" w:rsidRPr="00502ECB">
        <w:t>particularly children with disabilities in situations of poverty, children belonging to ethnic minorit</w:t>
      </w:r>
      <w:r w:rsidR="0040109B" w:rsidRPr="00502ECB">
        <w:t>y groups</w:t>
      </w:r>
      <w:r w:rsidR="00EB7320" w:rsidRPr="00502ECB">
        <w:t xml:space="preserve"> and </w:t>
      </w:r>
      <w:r w:rsidR="00F73348">
        <w:t xml:space="preserve">autistic </w:t>
      </w:r>
      <w:proofErr w:type="gramStart"/>
      <w:r w:rsidR="00EB7320" w:rsidRPr="00502ECB">
        <w:t>children</w:t>
      </w:r>
      <w:r w:rsidR="00FF5EEA" w:rsidRPr="00502ECB">
        <w:t>;</w:t>
      </w:r>
      <w:proofErr w:type="gramEnd"/>
      <w:r w:rsidR="00FF5EEA" w:rsidRPr="00502ECB">
        <w:t xml:space="preserve"> </w:t>
      </w:r>
    </w:p>
    <w:p w14:paraId="1BFB5828" w14:textId="7AA94FF0" w:rsidR="00F73537" w:rsidRPr="00502ECB" w:rsidRDefault="0040109B" w:rsidP="008D3DA9">
      <w:pPr>
        <w:pStyle w:val="SingleTxtG"/>
        <w:ind w:firstLine="567"/>
        <w:rPr>
          <w:bCs/>
        </w:rPr>
      </w:pPr>
      <w:r w:rsidRPr="00502ECB">
        <w:rPr>
          <w:bCs/>
        </w:rPr>
        <w:t>(c)</w:t>
      </w:r>
      <w:r w:rsidRPr="00502ECB">
        <w:rPr>
          <w:bCs/>
        </w:rPr>
        <w:tab/>
      </w:r>
      <w:r w:rsidR="003B1AF3" w:rsidRPr="00502ECB">
        <w:rPr>
          <w:bCs/>
        </w:rPr>
        <w:t>That programs designed for children in the field of social work are not accessible to children with disabilities,</w:t>
      </w:r>
      <w:r w:rsidR="00D7686B" w:rsidRPr="00502ECB">
        <w:rPr>
          <w:bCs/>
        </w:rPr>
        <w:t xml:space="preserve"> </w:t>
      </w:r>
      <w:r w:rsidR="00110BA6" w:rsidRPr="00502ECB">
        <w:rPr>
          <w:bCs/>
        </w:rPr>
        <w:t>bringing about</w:t>
      </w:r>
      <w:r w:rsidR="001E4253" w:rsidRPr="00502ECB">
        <w:rPr>
          <w:bCs/>
        </w:rPr>
        <w:t xml:space="preserve"> further</w:t>
      </w:r>
      <w:r w:rsidR="005329AE" w:rsidRPr="00502ECB">
        <w:rPr>
          <w:bCs/>
        </w:rPr>
        <w:t xml:space="preserve"> barriers for </w:t>
      </w:r>
      <w:r w:rsidR="003B1AF3" w:rsidRPr="00502ECB">
        <w:rPr>
          <w:bCs/>
        </w:rPr>
        <w:t xml:space="preserve">the </w:t>
      </w:r>
      <w:r w:rsidR="005329AE" w:rsidRPr="00502ECB">
        <w:rPr>
          <w:bCs/>
        </w:rPr>
        <w:t>development of children with disabilities</w:t>
      </w:r>
      <w:r w:rsidR="001E4253" w:rsidRPr="00502ECB">
        <w:rPr>
          <w:bCs/>
        </w:rPr>
        <w:t>, including children requiring higher levels of support.</w:t>
      </w:r>
    </w:p>
    <w:p w14:paraId="0FEED626" w14:textId="67BD65EF" w:rsidR="009C5F1D" w:rsidRPr="00502ECB" w:rsidRDefault="009C5F1D" w:rsidP="009C5F1D">
      <w:pPr>
        <w:pStyle w:val="SingleTxtG"/>
      </w:pPr>
      <w:r w:rsidRPr="00502ECB">
        <w:t>16.</w:t>
      </w:r>
      <w:r w:rsidRPr="00502ECB">
        <w:tab/>
      </w:r>
      <w:r w:rsidRPr="00502ECB">
        <w:rPr>
          <w:b/>
        </w:rPr>
        <w:t xml:space="preserve">With reference to the joint statement of the Committee on the Rights of the Child and the Committee on the Rights of Persons with Disabilities on the rights of children with disabilities, of 2022, the Committee recommends that the State party: </w:t>
      </w:r>
    </w:p>
    <w:p w14:paraId="3CD43AF7" w14:textId="2A786AF5" w:rsidR="00FF6743" w:rsidRPr="008931E4" w:rsidRDefault="009C5F1D" w:rsidP="006758DE">
      <w:pPr>
        <w:pStyle w:val="SingleTxtG"/>
        <w:ind w:firstLine="567"/>
        <w:rPr>
          <w:b/>
          <w:bCs/>
        </w:rPr>
      </w:pPr>
      <w:r w:rsidRPr="008931E4">
        <w:rPr>
          <w:b/>
          <w:bCs/>
        </w:rPr>
        <w:t>(</w:t>
      </w:r>
      <w:r w:rsidR="00FF6743" w:rsidRPr="008931E4">
        <w:rPr>
          <w:b/>
          <w:bCs/>
        </w:rPr>
        <w:t>a</w:t>
      </w:r>
      <w:r w:rsidRPr="008931E4">
        <w:rPr>
          <w:b/>
          <w:bCs/>
        </w:rPr>
        <w:t>)</w:t>
      </w:r>
      <w:r w:rsidR="008931E4" w:rsidRPr="008931E4">
        <w:rPr>
          <w:b/>
          <w:bCs/>
        </w:rPr>
        <w:tab/>
      </w:r>
      <w:r w:rsidR="00FF6743" w:rsidRPr="008931E4">
        <w:rPr>
          <w:b/>
        </w:rPr>
        <w:t xml:space="preserve">Ensure that children with disabilities have access to social programmes </w:t>
      </w:r>
      <w:r w:rsidR="00967F53" w:rsidRPr="008931E4">
        <w:rPr>
          <w:b/>
        </w:rPr>
        <w:t xml:space="preserve">aimed at the </w:t>
      </w:r>
      <w:r w:rsidR="00FF6743" w:rsidRPr="008931E4">
        <w:rPr>
          <w:b/>
        </w:rPr>
        <w:t xml:space="preserve">inclusion of children in the community regardless of impairment, and that programmes recognise </w:t>
      </w:r>
      <w:r w:rsidR="00341666" w:rsidRPr="008931E4">
        <w:rPr>
          <w:b/>
        </w:rPr>
        <w:t xml:space="preserve">their </w:t>
      </w:r>
      <w:r w:rsidR="00FF6743" w:rsidRPr="008931E4">
        <w:rPr>
          <w:b/>
        </w:rPr>
        <w:t>individual requirements</w:t>
      </w:r>
      <w:r w:rsidR="00341666" w:rsidRPr="008931E4">
        <w:rPr>
          <w:b/>
        </w:rPr>
        <w:t xml:space="preserve"> and respond to them </w:t>
      </w:r>
      <w:r w:rsidR="002957C2" w:rsidRPr="008931E4">
        <w:rPr>
          <w:b/>
        </w:rPr>
        <w:t>appropriately</w:t>
      </w:r>
      <w:r w:rsidR="007E7563" w:rsidRPr="008931E4">
        <w:rPr>
          <w:b/>
        </w:rPr>
        <w:t xml:space="preserve"> in urban as well as in rural </w:t>
      </w:r>
      <w:proofErr w:type="gramStart"/>
      <w:r w:rsidR="007E7563" w:rsidRPr="008931E4">
        <w:rPr>
          <w:b/>
        </w:rPr>
        <w:t>areas</w:t>
      </w:r>
      <w:r w:rsidR="00FF6743" w:rsidRPr="008931E4">
        <w:rPr>
          <w:b/>
        </w:rPr>
        <w:t>;</w:t>
      </w:r>
      <w:proofErr w:type="gramEnd"/>
      <w:r w:rsidR="00FF6743" w:rsidRPr="008931E4">
        <w:rPr>
          <w:b/>
        </w:rPr>
        <w:t xml:space="preserve"> </w:t>
      </w:r>
    </w:p>
    <w:p w14:paraId="32648C2C" w14:textId="7346D28C" w:rsidR="00397C21" w:rsidRPr="008931E4" w:rsidRDefault="00FF6743" w:rsidP="006257B8">
      <w:pPr>
        <w:pStyle w:val="SingleTxtG"/>
        <w:ind w:firstLine="567"/>
        <w:rPr>
          <w:b/>
        </w:rPr>
      </w:pPr>
      <w:r w:rsidRPr="008931E4">
        <w:rPr>
          <w:b/>
          <w:bCs/>
        </w:rPr>
        <w:t>(b)</w:t>
      </w:r>
      <w:r w:rsidRPr="008931E4">
        <w:rPr>
          <w:b/>
          <w:bCs/>
        </w:rPr>
        <w:tab/>
      </w:r>
      <w:r w:rsidR="006257B8" w:rsidRPr="008931E4">
        <w:rPr>
          <w:b/>
        </w:rPr>
        <w:t>E</w:t>
      </w:r>
      <w:r w:rsidR="002957C2" w:rsidRPr="008931E4">
        <w:rPr>
          <w:b/>
        </w:rPr>
        <w:t>xpand coverage of programmes</w:t>
      </w:r>
      <w:r w:rsidR="006257B8" w:rsidRPr="008931E4">
        <w:rPr>
          <w:b/>
        </w:rPr>
        <w:t xml:space="preserve"> at</w:t>
      </w:r>
      <w:r w:rsidR="009A37B7" w:rsidRPr="008931E4">
        <w:rPr>
          <w:b/>
        </w:rPr>
        <w:t xml:space="preserve"> the</w:t>
      </w:r>
      <w:r w:rsidR="006257B8" w:rsidRPr="008931E4">
        <w:rPr>
          <w:b/>
        </w:rPr>
        <w:t xml:space="preserve"> national and municipal level</w:t>
      </w:r>
      <w:r w:rsidR="002957C2" w:rsidRPr="008931E4">
        <w:rPr>
          <w:b/>
        </w:rPr>
        <w:t xml:space="preserve"> to foster inclusion of children with disabilities</w:t>
      </w:r>
      <w:r w:rsidR="006257B8" w:rsidRPr="008931E4">
        <w:rPr>
          <w:b/>
        </w:rPr>
        <w:t>, including by: (</w:t>
      </w:r>
      <w:proofErr w:type="spellStart"/>
      <w:r w:rsidR="006257B8" w:rsidRPr="008931E4">
        <w:rPr>
          <w:b/>
        </w:rPr>
        <w:t>i</w:t>
      </w:r>
      <w:proofErr w:type="spellEnd"/>
      <w:r w:rsidR="006257B8" w:rsidRPr="008931E4">
        <w:rPr>
          <w:b/>
        </w:rPr>
        <w:t>)</w:t>
      </w:r>
      <w:r w:rsidR="002957C2" w:rsidRPr="008931E4">
        <w:rPr>
          <w:b/>
        </w:rPr>
        <w:t xml:space="preserve"> address</w:t>
      </w:r>
      <w:r w:rsidR="006257B8" w:rsidRPr="008931E4">
        <w:rPr>
          <w:b/>
        </w:rPr>
        <w:t>ing</w:t>
      </w:r>
      <w:r w:rsidR="002957C2" w:rsidRPr="008931E4">
        <w:rPr>
          <w:b/>
        </w:rPr>
        <w:t xml:space="preserve"> the situation of poverty affecting children with disabilities</w:t>
      </w:r>
      <w:r w:rsidR="006257B8" w:rsidRPr="008931E4">
        <w:rPr>
          <w:b/>
        </w:rPr>
        <w:t xml:space="preserve">; (ii) ensuring that all children </w:t>
      </w:r>
      <w:r w:rsidR="009A37B7" w:rsidRPr="008931E4">
        <w:rPr>
          <w:b/>
        </w:rPr>
        <w:t xml:space="preserve">with disabilities </w:t>
      </w:r>
      <w:r w:rsidR="006257B8" w:rsidRPr="008931E4">
        <w:rPr>
          <w:b/>
        </w:rPr>
        <w:t xml:space="preserve">have a standard of living adequate for their physical, mental, spiritual and moral development; </w:t>
      </w:r>
      <w:r w:rsidR="009A37B7" w:rsidRPr="008931E4">
        <w:rPr>
          <w:b/>
        </w:rPr>
        <w:t xml:space="preserve">and </w:t>
      </w:r>
      <w:r w:rsidR="006257B8" w:rsidRPr="008931E4">
        <w:rPr>
          <w:b/>
        </w:rPr>
        <w:t xml:space="preserve">(iii) prioritizing safe </w:t>
      </w:r>
      <w:r w:rsidR="009A37B7" w:rsidRPr="008931E4">
        <w:rPr>
          <w:b/>
        </w:rPr>
        <w:t>living conditions</w:t>
      </w:r>
      <w:r w:rsidR="006257B8" w:rsidRPr="008931E4">
        <w:rPr>
          <w:b/>
        </w:rPr>
        <w:t>,</w:t>
      </w:r>
      <w:r w:rsidR="009A37B7" w:rsidRPr="008931E4">
        <w:rPr>
          <w:b/>
        </w:rPr>
        <w:t xml:space="preserve"> and the provision of</w:t>
      </w:r>
      <w:r w:rsidR="006257B8" w:rsidRPr="008931E4">
        <w:rPr>
          <w:b/>
        </w:rPr>
        <w:t xml:space="preserve"> food</w:t>
      </w:r>
      <w:r w:rsidR="009A37B7" w:rsidRPr="008931E4">
        <w:rPr>
          <w:b/>
        </w:rPr>
        <w:t xml:space="preserve"> and free and </w:t>
      </w:r>
      <w:r w:rsidR="006257B8" w:rsidRPr="008931E4">
        <w:rPr>
          <w:b/>
        </w:rPr>
        <w:t xml:space="preserve">accessible medical care and </w:t>
      </w:r>
      <w:proofErr w:type="gramStart"/>
      <w:r w:rsidR="006257B8" w:rsidRPr="008931E4">
        <w:rPr>
          <w:b/>
        </w:rPr>
        <w:t>education;</w:t>
      </w:r>
      <w:proofErr w:type="gramEnd"/>
      <w:r w:rsidR="006257B8" w:rsidRPr="008931E4">
        <w:rPr>
          <w:b/>
        </w:rPr>
        <w:t xml:space="preserve"> </w:t>
      </w:r>
    </w:p>
    <w:p w14:paraId="4AD1AFAC" w14:textId="0C438DF4" w:rsidR="00B65A59" w:rsidRPr="00502ECB" w:rsidRDefault="00FF6743" w:rsidP="002A2AA1">
      <w:pPr>
        <w:pStyle w:val="SingleTxtG"/>
        <w:ind w:firstLine="567"/>
        <w:rPr>
          <w:b/>
          <w:bCs/>
          <w:lang w:val="en-US"/>
        </w:rPr>
      </w:pPr>
      <w:r w:rsidRPr="008931E4">
        <w:rPr>
          <w:b/>
          <w:bCs/>
          <w:lang w:val="en-US"/>
        </w:rPr>
        <w:t>(c)</w:t>
      </w:r>
      <w:r w:rsidR="008D423B" w:rsidRPr="008931E4">
        <w:rPr>
          <w:b/>
          <w:bCs/>
          <w:lang w:val="en-US"/>
        </w:rPr>
        <w:tab/>
      </w:r>
      <w:r w:rsidR="00397C21" w:rsidRPr="008931E4">
        <w:rPr>
          <w:b/>
          <w:bCs/>
          <w:lang w:val="en-US"/>
        </w:rPr>
        <w:t xml:space="preserve">Develop </w:t>
      </w:r>
      <w:r w:rsidR="006B1451" w:rsidRPr="008931E4">
        <w:rPr>
          <w:b/>
          <w:bCs/>
          <w:lang w:val="en-US"/>
        </w:rPr>
        <w:t xml:space="preserve">disability-related </w:t>
      </w:r>
      <w:r w:rsidR="00D7686B" w:rsidRPr="008931E4">
        <w:rPr>
          <w:b/>
          <w:bCs/>
          <w:lang w:val="en-US"/>
        </w:rPr>
        <w:t xml:space="preserve">quality </w:t>
      </w:r>
      <w:r w:rsidR="006B1451" w:rsidRPr="008931E4">
        <w:rPr>
          <w:b/>
          <w:bCs/>
          <w:lang w:val="en-US"/>
        </w:rPr>
        <w:t>standards and requirements</w:t>
      </w:r>
      <w:r w:rsidR="00397C21" w:rsidRPr="008931E4">
        <w:rPr>
          <w:b/>
          <w:bCs/>
          <w:lang w:val="en-US"/>
        </w:rPr>
        <w:t xml:space="preserve"> </w:t>
      </w:r>
      <w:r w:rsidR="006B1451" w:rsidRPr="008931E4">
        <w:rPr>
          <w:b/>
          <w:bCs/>
          <w:lang w:val="en-US"/>
        </w:rPr>
        <w:t xml:space="preserve">applicable </w:t>
      </w:r>
      <w:r w:rsidR="00AE3016" w:rsidRPr="008931E4">
        <w:rPr>
          <w:b/>
          <w:bCs/>
          <w:lang w:val="en-US"/>
        </w:rPr>
        <w:t xml:space="preserve">in all </w:t>
      </w:r>
      <w:proofErr w:type="spellStart"/>
      <w:r w:rsidR="006B1451" w:rsidRPr="008931E4">
        <w:rPr>
          <w:b/>
          <w:bCs/>
          <w:lang w:val="en-US"/>
        </w:rPr>
        <w:t>programmes</w:t>
      </w:r>
      <w:proofErr w:type="spellEnd"/>
      <w:r w:rsidR="00AE3016" w:rsidRPr="00502ECB">
        <w:rPr>
          <w:b/>
          <w:bCs/>
          <w:lang w:val="en-US"/>
        </w:rPr>
        <w:t xml:space="preserve"> designed for children,</w:t>
      </w:r>
      <w:r w:rsidR="006B1451" w:rsidRPr="00502ECB">
        <w:rPr>
          <w:b/>
          <w:bCs/>
          <w:lang w:val="en-US"/>
        </w:rPr>
        <w:t xml:space="preserve"> including </w:t>
      </w:r>
      <w:r w:rsidR="00D7686B" w:rsidRPr="00502ECB">
        <w:rPr>
          <w:b/>
          <w:bCs/>
          <w:lang w:val="en-US"/>
        </w:rPr>
        <w:t xml:space="preserve">in </w:t>
      </w:r>
      <w:r w:rsidR="006B1451" w:rsidRPr="00502ECB">
        <w:rPr>
          <w:b/>
          <w:bCs/>
          <w:lang w:val="en-US"/>
        </w:rPr>
        <w:t xml:space="preserve">early childhood development </w:t>
      </w:r>
      <w:proofErr w:type="spellStart"/>
      <w:r w:rsidR="006B1451" w:rsidRPr="00502ECB">
        <w:rPr>
          <w:b/>
          <w:bCs/>
          <w:lang w:val="en-US"/>
        </w:rPr>
        <w:t>programmes</w:t>
      </w:r>
      <w:proofErr w:type="spellEnd"/>
      <w:r w:rsidR="00D7686B" w:rsidRPr="00502ECB">
        <w:rPr>
          <w:b/>
          <w:bCs/>
          <w:lang w:val="en-US"/>
        </w:rPr>
        <w:t>, in health care and education. The State party should ensure that</w:t>
      </w:r>
      <w:r w:rsidR="00AE3016" w:rsidRPr="00502ECB">
        <w:rPr>
          <w:b/>
          <w:bCs/>
          <w:lang w:val="en-US"/>
        </w:rPr>
        <w:t xml:space="preserve"> such </w:t>
      </w:r>
      <w:proofErr w:type="spellStart"/>
      <w:r w:rsidR="00AE3016" w:rsidRPr="00502ECB">
        <w:rPr>
          <w:b/>
          <w:bCs/>
          <w:lang w:val="en-US"/>
        </w:rPr>
        <w:t>programmes</w:t>
      </w:r>
      <w:proofErr w:type="spellEnd"/>
      <w:r w:rsidR="00AE3016" w:rsidRPr="00502ECB">
        <w:rPr>
          <w:b/>
          <w:bCs/>
          <w:lang w:val="en-US"/>
        </w:rPr>
        <w:t xml:space="preserve"> are age-appropriate and address barriers of inclusion for all children with disabilities regardless of type of impairment, and that </w:t>
      </w:r>
      <w:r w:rsidR="006B1451" w:rsidRPr="00502ECB">
        <w:rPr>
          <w:b/>
          <w:bCs/>
          <w:lang w:val="en-US"/>
        </w:rPr>
        <w:t>information</w:t>
      </w:r>
      <w:r w:rsidR="00D7686B" w:rsidRPr="00502ECB">
        <w:rPr>
          <w:b/>
          <w:bCs/>
          <w:lang w:val="en-US"/>
        </w:rPr>
        <w:t xml:space="preserve"> about these </w:t>
      </w:r>
      <w:proofErr w:type="spellStart"/>
      <w:r w:rsidR="00D7686B" w:rsidRPr="00502ECB">
        <w:rPr>
          <w:b/>
          <w:bCs/>
          <w:lang w:val="en-US"/>
        </w:rPr>
        <w:t>programmes</w:t>
      </w:r>
      <w:proofErr w:type="spellEnd"/>
      <w:r w:rsidR="006B1451" w:rsidRPr="00502ECB">
        <w:rPr>
          <w:b/>
          <w:bCs/>
          <w:lang w:val="en-US"/>
        </w:rPr>
        <w:t xml:space="preserve"> </w:t>
      </w:r>
      <w:r w:rsidR="00D7686B" w:rsidRPr="00502ECB">
        <w:rPr>
          <w:b/>
          <w:bCs/>
          <w:lang w:val="en-US"/>
        </w:rPr>
        <w:t xml:space="preserve">is available </w:t>
      </w:r>
      <w:r w:rsidR="006B1451" w:rsidRPr="00502ECB">
        <w:rPr>
          <w:b/>
          <w:bCs/>
          <w:lang w:val="en-US"/>
        </w:rPr>
        <w:t xml:space="preserve">in accessible formats, such as Easy Read, augmentative </w:t>
      </w:r>
      <w:proofErr w:type="gramStart"/>
      <w:r w:rsidR="00D7686B" w:rsidRPr="00502ECB">
        <w:rPr>
          <w:b/>
          <w:bCs/>
          <w:lang w:val="en-US"/>
        </w:rPr>
        <w:t>means</w:t>
      </w:r>
      <w:proofErr w:type="gramEnd"/>
      <w:r w:rsidR="00D7686B" w:rsidRPr="00502ECB">
        <w:rPr>
          <w:b/>
          <w:bCs/>
          <w:lang w:val="en-US"/>
        </w:rPr>
        <w:t xml:space="preserve"> and </w:t>
      </w:r>
      <w:r w:rsidR="007E7563">
        <w:rPr>
          <w:b/>
          <w:bCs/>
          <w:lang w:val="en-US"/>
        </w:rPr>
        <w:t xml:space="preserve">other </w:t>
      </w:r>
      <w:r w:rsidR="006B1451" w:rsidRPr="00502ECB">
        <w:rPr>
          <w:b/>
          <w:bCs/>
          <w:lang w:val="en-US"/>
        </w:rPr>
        <w:t>forms of communication</w:t>
      </w:r>
      <w:r w:rsidR="00AE3016" w:rsidRPr="00502ECB">
        <w:rPr>
          <w:b/>
          <w:bCs/>
          <w:lang w:val="en-US"/>
        </w:rPr>
        <w:t>.</w:t>
      </w:r>
      <w:r w:rsidR="006B1451" w:rsidRPr="00502ECB">
        <w:rPr>
          <w:b/>
          <w:bCs/>
          <w:lang w:val="en-US"/>
        </w:rPr>
        <w:t xml:space="preserve">  </w:t>
      </w:r>
    </w:p>
    <w:p w14:paraId="7C6D90E9" w14:textId="23DCF11E" w:rsidR="00314FAD" w:rsidRPr="00502ECB" w:rsidRDefault="00314FAD" w:rsidP="00314FAD">
      <w:pPr>
        <w:pStyle w:val="H23G"/>
        <w:ind w:left="0" w:firstLine="0"/>
        <w:outlineLvl w:val="2"/>
      </w:pPr>
      <w:r w:rsidRPr="00502ECB">
        <w:tab/>
      </w:r>
      <w:r w:rsidRPr="00502ECB">
        <w:tab/>
        <w:t>Awareness-raising (art. 8)</w:t>
      </w:r>
    </w:p>
    <w:p w14:paraId="154A3E1E" w14:textId="1B45FF77" w:rsidR="00DC039E" w:rsidRPr="00502ECB" w:rsidRDefault="00DC039E" w:rsidP="00DC039E">
      <w:pPr>
        <w:pStyle w:val="SingleTxtG"/>
        <w:rPr>
          <w:rFonts w:eastAsia="Arial"/>
          <w:b/>
        </w:rPr>
      </w:pPr>
      <w:r w:rsidRPr="00502ECB">
        <w:rPr>
          <w:rFonts w:eastAsia="Arial"/>
          <w:bCs/>
        </w:rPr>
        <w:t>17.</w:t>
      </w:r>
      <w:r w:rsidRPr="00502ECB">
        <w:rPr>
          <w:rFonts w:eastAsia="Arial"/>
          <w:b/>
        </w:rPr>
        <w:tab/>
      </w:r>
      <w:r w:rsidRPr="00502ECB">
        <w:rPr>
          <w:rFonts w:eastAsia="Arial"/>
          <w:bCs/>
        </w:rPr>
        <w:t xml:space="preserve">The Committee expresses its concern about reports of </w:t>
      </w:r>
      <w:r w:rsidR="00AE3016" w:rsidRPr="00502ECB">
        <w:rPr>
          <w:rFonts w:eastAsia="Arial"/>
          <w:bCs/>
        </w:rPr>
        <w:t xml:space="preserve">widely held </w:t>
      </w:r>
      <w:r w:rsidRPr="00502ECB">
        <w:rPr>
          <w:rFonts w:eastAsia="Arial"/>
          <w:bCs/>
        </w:rPr>
        <w:t>negative attitudes, stereotypes and prejudices targeted at persons with disabilities, particularly persons with intellectual or psychosocial disabilities, in all aspects of life</w:t>
      </w:r>
      <w:r w:rsidR="00AE3016" w:rsidRPr="00502ECB">
        <w:rPr>
          <w:rFonts w:eastAsia="Arial"/>
          <w:bCs/>
        </w:rPr>
        <w:t>. Such attitudes prevail</w:t>
      </w:r>
      <w:r w:rsidRPr="00502ECB">
        <w:rPr>
          <w:rFonts w:eastAsia="Arial"/>
          <w:bCs/>
        </w:rPr>
        <w:t xml:space="preserve"> among the general population</w:t>
      </w:r>
      <w:r w:rsidR="00AE3016" w:rsidRPr="00502ECB">
        <w:rPr>
          <w:rFonts w:eastAsia="Arial"/>
          <w:bCs/>
        </w:rPr>
        <w:t>,</w:t>
      </w:r>
      <w:r w:rsidRPr="00502ECB">
        <w:rPr>
          <w:rFonts w:eastAsia="Arial"/>
          <w:bCs/>
        </w:rPr>
        <w:t xml:space="preserve"> including parents and families of children with disabilities, </w:t>
      </w:r>
      <w:r w:rsidR="00AE3016" w:rsidRPr="00502ECB">
        <w:rPr>
          <w:rFonts w:eastAsia="Arial"/>
          <w:bCs/>
        </w:rPr>
        <w:t xml:space="preserve">and contribute </w:t>
      </w:r>
      <w:r w:rsidRPr="00502ECB">
        <w:rPr>
          <w:rFonts w:eastAsia="Arial"/>
          <w:bCs/>
        </w:rPr>
        <w:t xml:space="preserve">to isolation from the community </w:t>
      </w:r>
      <w:r w:rsidR="00AE3016" w:rsidRPr="00502ECB">
        <w:rPr>
          <w:rFonts w:eastAsia="Arial"/>
          <w:bCs/>
        </w:rPr>
        <w:t>a lack of participation in</w:t>
      </w:r>
      <w:r w:rsidRPr="00502ECB">
        <w:rPr>
          <w:rFonts w:eastAsia="Arial"/>
          <w:bCs/>
        </w:rPr>
        <w:t xml:space="preserve"> support programmes</w:t>
      </w:r>
      <w:r w:rsidR="00AE3016" w:rsidRPr="00502ECB">
        <w:rPr>
          <w:rFonts w:eastAsia="Arial"/>
          <w:bCs/>
        </w:rPr>
        <w:t xml:space="preserve"> available to persons with disabilities.</w:t>
      </w:r>
      <w:r w:rsidRPr="00502ECB">
        <w:rPr>
          <w:rFonts w:eastAsia="Arial"/>
          <w:bCs/>
        </w:rPr>
        <w:t xml:space="preserve"> </w:t>
      </w:r>
    </w:p>
    <w:p w14:paraId="5C3DB108" w14:textId="77777777" w:rsidR="00DC039E" w:rsidRPr="00502ECB" w:rsidRDefault="00DC039E" w:rsidP="00DC039E">
      <w:pPr>
        <w:pStyle w:val="SingleTxtG"/>
        <w:rPr>
          <w:rFonts w:eastAsia="Arial"/>
          <w:b/>
        </w:rPr>
      </w:pPr>
      <w:r w:rsidRPr="00502ECB">
        <w:rPr>
          <w:rFonts w:eastAsia="Arial"/>
          <w:bCs/>
        </w:rPr>
        <w:t>18.</w:t>
      </w:r>
      <w:r w:rsidRPr="00502ECB">
        <w:rPr>
          <w:rFonts w:eastAsia="Arial"/>
          <w:b/>
        </w:rPr>
        <w:tab/>
        <w:t>The Committee recommends that the State party:</w:t>
      </w:r>
    </w:p>
    <w:p w14:paraId="05BA4D87" w14:textId="5A47B2CF" w:rsidR="00DC039E" w:rsidRPr="008931E4" w:rsidRDefault="00DC039E" w:rsidP="008931E4">
      <w:pPr>
        <w:pStyle w:val="SingleTxtG"/>
        <w:ind w:firstLine="567"/>
        <w:rPr>
          <w:rFonts w:eastAsia="Arial"/>
          <w:b/>
          <w:bCs/>
        </w:rPr>
      </w:pPr>
      <w:r w:rsidRPr="008931E4">
        <w:rPr>
          <w:rFonts w:eastAsia="Arial"/>
          <w:b/>
        </w:rPr>
        <w:tab/>
        <w:t>(a)</w:t>
      </w:r>
      <w:r w:rsidRPr="008931E4">
        <w:rPr>
          <w:rFonts w:eastAsia="Arial"/>
          <w:b/>
        </w:rPr>
        <w:tab/>
        <w:t xml:space="preserve">Strengthen awareness-raising activities like </w:t>
      </w:r>
      <w:r w:rsidR="00AE3016" w:rsidRPr="008931E4">
        <w:rPr>
          <w:rFonts w:eastAsia="Arial"/>
          <w:b/>
        </w:rPr>
        <w:t xml:space="preserve">public </w:t>
      </w:r>
      <w:r w:rsidRPr="008931E4">
        <w:rPr>
          <w:rFonts w:eastAsia="Arial"/>
          <w:b/>
        </w:rPr>
        <w:t>campaigns, with different target audience groups</w:t>
      </w:r>
      <w:r w:rsidR="00AE3016" w:rsidRPr="008931E4">
        <w:rPr>
          <w:rFonts w:eastAsia="Arial"/>
          <w:b/>
        </w:rPr>
        <w:t>,</w:t>
      </w:r>
      <w:r w:rsidRPr="008931E4">
        <w:rPr>
          <w:rFonts w:eastAsia="Arial"/>
          <w:b/>
        </w:rPr>
        <w:t xml:space="preserve"> aimed at eliminating negative stereotypes and prejudice towards persons with disabilities, particularly </w:t>
      </w:r>
      <w:r w:rsidRPr="008931E4">
        <w:rPr>
          <w:rFonts w:eastAsia="Arial"/>
          <w:b/>
          <w:bCs/>
        </w:rPr>
        <w:t xml:space="preserve">persons with intellectual or psychosocial disabilities and children with </w:t>
      </w:r>
      <w:proofErr w:type="gramStart"/>
      <w:r w:rsidRPr="008931E4">
        <w:rPr>
          <w:rFonts w:eastAsia="Arial"/>
          <w:b/>
          <w:bCs/>
        </w:rPr>
        <w:t>disabilities;</w:t>
      </w:r>
      <w:proofErr w:type="gramEnd"/>
    </w:p>
    <w:p w14:paraId="1F73F5BE" w14:textId="618A2EF8" w:rsidR="00DC039E" w:rsidRPr="00502ECB" w:rsidRDefault="00DC039E" w:rsidP="00DC039E">
      <w:pPr>
        <w:pStyle w:val="SingleTxtG"/>
        <w:ind w:firstLine="567"/>
        <w:rPr>
          <w:rFonts w:eastAsia="Arial"/>
          <w:b/>
          <w:bCs/>
        </w:rPr>
      </w:pPr>
      <w:r w:rsidRPr="008931E4">
        <w:rPr>
          <w:rFonts w:eastAsia="Arial"/>
          <w:b/>
        </w:rPr>
        <w:t>(b)</w:t>
      </w:r>
      <w:r w:rsidRPr="008931E4">
        <w:rPr>
          <w:rFonts w:eastAsia="Arial"/>
          <w:b/>
        </w:rPr>
        <w:tab/>
      </w:r>
      <w:r w:rsidRPr="008931E4">
        <w:rPr>
          <w:rFonts w:eastAsia="Arial"/>
          <w:b/>
          <w:bCs/>
        </w:rPr>
        <w:t xml:space="preserve">Ensure the </w:t>
      </w:r>
      <w:r w:rsidR="00AE3016" w:rsidRPr="008931E4">
        <w:rPr>
          <w:rFonts w:eastAsia="Arial"/>
          <w:b/>
          <w:bCs/>
        </w:rPr>
        <w:t xml:space="preserve">active </w:t>
      </w:r>
      <w:r w:rsidRPr="008931E4">
        <w:rPr>
          <w:rFonts w:eastAsia="Arial"/>
          <w:b/>
          <w:bCs/>
        </w:rPr>
        <w:t>involvement of organisations of persons with disabilities</w:t>
      </w:r>
      <w:r w:rsidR="00AE3016" w:rsidRPr="008931E4">
        <w:rPr>
          <w:rFonts w:eastAsia="Arial"/>
          <w:b/>
          <w:bCs/>
        </w:rPr>
        <w:t>,</w:t>
      </w:r>
      <w:r w:rsidRPr="008931E4">
        <w:rPr>
          <w:rFonts w:eastAsia="Arial"/>
          <w:b/>
          <w:bCs/>
        </w:rPr>
        <w:t xml:space="preserve"> including organisations</w:t>
      </w:r>
      <w:r w:rsidRPr="00502ECB">
        <w:rPr>
          <w:rFonts w:eastAsia="Arial"/>
          <w:b/>
          <w:bCs/>
        </w:rPr>
        <w:t xml:space="preserve"> of persons with intellectual disabilities and </w:t>
      </w:r>
      <w:r w:rsidR="003644EC">
        <w:rPr>
          <w:rFonts w:eastAsia="Arial"/>
          <w:b/>
          <w:bCs/>
        </w:rPr>
        <w:t xml:space="preserve">organizations of </w:t>
      </w:r>
      <w:r w:rsidRPr="00502ECB">
        <w:rPr>
          <w:rFonts w:eastAsia="Arial"/>
          <w:b/>
          <w:bCs/>
        </w:rPr>
        <w:t>women</w:t>
      </w:r>
      <w:r w:rsidR="00AE3016" w:rsidRPr="00502ECB">
        <w:rPr>
          <w:rFonts w:eastAsia="Arial"/>
          <w:b/>
          <w:bCs/>
        </w:rPr>
        <w:t xml:space="preserve"> with disabilities,</w:t>
      </w:r>
      <w:r w:rsidRPr="00502ECB">
        <w:rPr>
          <w:rFonts w:eastAsia="Arial"/>
          <w:b/>
          <w:bCs/>
        </w:rPr>
        <w:t xml:space="preserve"> in the design, implementation and periodic monitoring</w:t>
      </w:r>
      <w:r w:rsidR="00AE3016" w:rsidRPr="00502ECB">
        <w:rPr>
          <w:rFonts w:eastAsia="Arial"/>
          <w:b/>
          <w:bCs/>
        </w:rPr>
        <w:t xml:space="preserve"> of such programmes</w:t>
      </w:r>
      <w:r w:rsidRPr="00502ECB">
        <w:rPr>
          <w:rFonts w:eastAsia="Arial"/>
          <w:b/>
          <w:bCs/>
        </w:rPr>
        <w:t xml:space="preserve">. </w:t>
      </w:r>
    </w:p>
    <w:p w14:paraId="1C6CF55E" w14:textId="4961EF9E" w:rsidR="00314FAD" w:rsidRPr="00502ECB" w:rsidRDefault="00314FAD" w:rsidP="00314FAD">
      <w:pPr>
        <w:pStyle w:val="H23G"/>
        <w:outlineLvl w:val="2"/>
      </w:pPr>
      <w:r w:rsidRPr="00502ECB">
        <w:tab/>
      </w:r>
      <w:r w:rsidRPr="00502ECB">
        <w:tab/>
        <w:t>Accessibility (art. 9)</w:t>
      </w:r>
    </w:p>
    <w:p w14:paraId="1B0DC827" w14:textId="75EFFD84" w:rsidR="00314FAD" w:rsidRPr="00502ECB" w:rsidRDefault="00314FAD" w:rsidP="00314FAD">
      <w:pPr>
        <w:pStyle w:val="SingleTxtG"/>
      </w:pPr>
      <w:r w:rsidRPr="00502ECB">
        <w:t>19.</w:t>
      </w:r>
      <w:r w:rsidRPr="00502ECB">
        <w:tab/>
        <w:t>The Committee notes with concern:</w:t>
      </w:r>
    </w:p>
    <w:p w14:paraId="51EA8186" w14:textId="581A9AE1" w:rsidR="00741881" w:rsidRPr="00502ECB" w:rsidRDefault="00314FAD" w:rsidP="008931E4">
      <w:pPr>
        <w:pStyle w:val="SingleTxtG"/>
        <w:ind w:firstLine="567"/>
        <w:rPr>
          <w:bCs/>
        </w:rPr>
      </w:pPr>
      <w:r w:rsidRPr="00502ECB">
        <w:tab/>
        <w:t>(a)</w:t>
      </w:r>
      <w:r w:rsidRPr="00502ECB">
        <w:tab/>
      </w:r>
      <w:r w:rsidR="00741881" w:rsidRPr="00502ECB">
        <w:rPr>
          <w:bCs/>
        </w:rPr>
        <w:t xml:space="preserve">The absence of </w:t>
      </w:r>
      <w:r w:rsidR="003128FE" w:rsidRPr="00502ECB">
        <w:rPr>
          <w:bCs/>
        </w:rPr>
        <w:t>comprehensive national legislation about accessibility and of a n</w:t>
      </w:r>
      <w:r w:rsidR="00741881" w:rsidRPr="00502ECB">
        <w:rPr>
          <w:bCs/>
        </w:rPr>
        <w:t xml:space="preserve">ational </w:t>
      </w:r>
      <w:r w:rsidR="003128FE" w:rsidRPr="00502ECB">
        <w:rPr>
          <w:bCs/>
        </w:rPr>
        <w:t>a</w:t>
      </w:r>
      <w:r w:rsidR="00741881" w:rsidRPr="00502ECB">
        <w:rPr>
          <w:bCs/>
        </w:rPr>
        <w:t xml:space="preserve">ccessibility </w:t>
      </w:r>
      <w:r w:rsidR="003128FE" w:rsidRPr="00502ECB">
        <w:rPr>
          <w:bCs/>
        </w:rPr>
        <w:t>p</w:t>
      </w:r>
      <w:r w:rsidR="00741881" w:rsidRPr="00502ECB">
        <w:rPr>
          <w:bCs/>
        </w:rPr>
        <w:t xml:space="preserve">lan encompassing </w:t>
      </w:r>
      <w:r w:rsidR="006E27EE" w:rsidRPr="00502ECB">
        <w:rPr>
          <w:bCs/>
        </w:rPr>
        <w:t xml:space="preserve">all areas of </w:t>
      </w:r>
      <w:proofErr w:type="gramStart"/>
      <w:r w:rsidR="006E27EE" w:rsidRPr="00502ECB">
        <w:rPr>
          <w:bCs/>
        </w:rPr>
        <w:t>life</w:t>
      </w:r>
      <w:r w:rsidR="00741881" w:rsidRPr="00502ECB">
        <w:rPr>
          <w:bCs/>
        </w:rPr>
        <w:t>;</w:t>
      </w:r>
      <w:proofErr w:type="gramEnd"/>
    </w:p>
    <w:p w14:paraId="0067E227" w14:textId="2B76B9D4" w:rsidR="00B8533C" w:rsidRPr="00502ECB" w:rsidRDefault="00741881" w:rsidP="00741881">
      <w:pPr>
        <w:pStyle w:val="SingleTxtG"/>
        <w:ind w:firstLine="567"/>
      </w:pPr>
      <w:r w:rsidRPr="00502ECB">
        <w:rPr>
          <w:bCs/>
        </w:rPr>
        <w:lastRenderedPageBreak/>
        <w:t>(b)</w:t>
      </w:r>
      <w:r w:rsidRPr="00502ECB">
        <w:rPr>
          <w:bCs/>
        </w:rPr>
        <w:tab/>
        <w:t>A</w:t>
      </w:r>
      <w:r w:rsidR="00B8533C" w:rsidRPr="00502ECB">
        <w:rPr>
          <w:bCs/>
        </w:rPr>
        <w:t xml:space="preserve">ccessibility barriers to the physical environment including </w:t>
      </w:r>
      <w:r w:rsidRPr="00502ECB">
        <w:rPr>
          <w:bCs/>
        </w:rPr>
        <w:t xml:space="preserve">to </w:t>
      </w:r>
      <w:r w:rsidR="00B8533C" w:rsidRPr="00502ECB">
        <w:rPr>
          <w:bCs/>
        </w:rPr>
        <w:t>kindergartens, health care premises, court buildings</w:t>
      </w:r>
      <w:r w:rsidR="00FB53E8" w:rsidRPr="00502ECB">
        <w:rPr>
          <w:bCs/>
        </w:rPr>
        <w:t>, bank offices, notary bureaus</w:t>
      </w:r>
      <w:r w:rsidR="006E27EE" w:rsidRPr="00502ECB">
        <w:rPr>
          <w:bCs/>
        </w:rPr>
        <w:t xml:space="preserve"> and public transport, including inter-municipality </w:t>
      </w:r>
      <w:proofErr w:type="gramStart"/>
      <w:r w:rsidR="006E27EE" w:rsidRPr="00502ECB">
        <w:rPr>
          <w:bCs/>
        </w:rPr>
        <w:t>transport</w:t>
      </w:r>
      <w:r w:rsidRPr="00502ECB">
        <w:rPr>
          <w:bCs/>
        </w:rPr>
        <w:t>;</w:t>
      </w:r>
      <w:proofErr w:type="gramEnd"/>
      <w:r w:rsidRPr="00502ECB">
        <w:rPr>
          <w:bCs/>
        </w:rPr>
        <w:t xml:space="preserve"> </w:t>
      </w:r>
    </w:p>
    <w:p w14:paraId="7BB21584" w14:textId="04C3B6A3" w:rsidR="00314FAD" w:rsidRPr="00502ECB" w:rsidRDefault="00B8533C" w:rsidP="00314FAD">
      <w:pPr>
        <w:pStyle w:val="SingleTxtG"/>
        <w:ind w:firstLine="567"/>
        <w:rPr>
          <w:bCs/>
        </w:rPr>
      </w:pPr>
      <w:r w:rsidRPr="00502ECB">
        <w:rPr>
          <w:bCs/>
        </w:rPr>
        <w:t>(c)</w:t>
      </w:r>
      <w:r w:rsidRPr="00502ECB">
        <w:rPr>
          <w:bCs/>
        </w:rPr>
        <w:tab/>
      </w:r>
      <w:r w:rsidR="006D3A90" w:rsidRPr="00502ECB">
        <w:rPr>
          <w:bCs/>
        </w:rPr>
        <w:t xml:space="preserve">A </w:t>
      </w:r>
      <w:r w:rsidR="00FB53E8" w:rsidRPr="00502ECB">
        <w:rPr>
          <w:bCs/>
        </w:rPr>
        <w:t xml:space="preserve">lack of </w:t>
      </w:r>
      <w:r w:rsidR="00314FAD" w:rsidRPr="00502ECB">
        <w:rPr>
          <w:bCs/>
        </w:rPr>
        <w:t>monitoring of</w:t>
      </w:r>
      <w:r w:rsidR="00463097" w:rsidRPr="00502ECB">
        <w:rPr>
          <w:bCs/>
        </w:rPr>
        <w:t xml:space="preserve"> accessibility </w:t>
      </w:r>
      <w:r w:rsidR="00E76155" w:rsidRPr="00502ECB">
        <w:rPr>
          <w:bCs/>
        </w:rPr>
        <w:t>regulations</w:t>
      </w:r>
      <w:r w:rsidR="00463097" w:rsidRPr="00502ECB">
        <w:rPr>
          <w:bCs/>
        </w:rPr>
        <w:t>, particularly</w:t>
      </w:r>
      <w:r w:rsidR="00314FAD" w:rsidRPr="00502ECB">
        <w:rPr>
          <w:bCs/>
        </w:rPr>
        <w:t xml:space="preserve"> </w:t>
      </w:r>
      <w:r w:rsidR="006E27EE" w:rsidRPr="00502ECB">
        <w:rPr>
          <w:bCs/>
        </w:rPr>
        <w:t xml:space="preserve">concerning </w:t>
      </w:r>
      <w:r w:rsidR="00314FAD" w:rsidRPr="00502ECB">
        <w:rPr>
          <w:bCs/>
        </w:rPr>
        <w:t xml:space="preserve">the Technical Regulations –National Accessibility </w:t>
      </w:r>
      <w:proofErr w:type="gramStart"/>
      <w:r w:rsidR="00314FAD" w:rsidRPr="00502ECB">
        <w:rPr>
          <w:bCs/>
        </w:rPr>
        <w:t>Standards;</w:t>
      </w:r>
      <w:proofErr w:type="gramEnd"/>
      <w:r w:rsidR="00314FAD" w:rsidRPr="00502ECB">
        <w:rPr>
          <w:bCs/>
        </w:rPr>
        <w:t xml:space="preserve"> </w:t>
      </w:r>
    </w:p>
    <w:p w14:paraId="79F06C99" w14:textId="264947BC" w:rsidR="00314FAD" w:rsidRPr="00502ECB" w:rsidRDefault="00314FAD" w:rsidP="00314FAD">
      <w:pPr>
        <w:pStyle w:val="SingleTxtG"/>
        <w:ind w:firstLine="567"/>
        <w:rPr>
          <w:bCs/>
        </w:rPr>
      </w:pPr>
      <w:r w:rsidRPr="00502ECB">
        <w:rPr>
          <w:bCs/>
        </w:rPr>
        <w:t>(</w:t>
      </w:r>
      <w:r w:rsidR="00B8533C" w:rsidRPr="00502ECB">
        <w:rPr>
          <w:bCs/>
        </w:rPr>
        <w:t>d</w:t>
      </w:r>
      <w:r w:rsidRPr="00502ECB">
        <w:rPr>
          <w:bCs/>
        </w:rPr>
        <w:t>)</w:t>
      </w:r>
      <w:r w:rsidRPr="00502ECB">
        <w:rPr>
          <w:bCs/>
        </w:rPr>
        <w:tab/>
      </w:r>
      <w:r w:rsidR="006D3A90" w:rsidRPr="00502ECB">
        <w:rPr>
          <w:bCs/>
        </w:rPr>
        <w:t xml:space="preserve">An </w:t>
      </w:r>
      <w:r w:rsidR="00FB53E8" w:rsidRPr="00502ECB">
        <w:rPr>
          <w:bCs/>
        </w:rPr>
        <w:t xml:space="preserve">absence of </w:t>
      </w:r>
      <w:r w:rsidR="006E27EE" w:rsidRPr="00502ECB">
        <w:rPr>
          <w:bCs/>
        </w:rPr>
        <w:t xml:space="preserve">strategies and public </w:t>
      </w:r>
      <w:r w:rsidR="00FB53E8" w:rsidRPr="00502ECB">
        <w:rPr>
          <w:bCs/>
        </w:rPr>
        <w:t>investments to address</w:t>
      </w:r>
      <w:r w:rsidR="006D3A90" w:rsidRPr="00502ECB">
        <w:rPr>
          <w:bCs/>
        </w:rPr>
        <w:t xml:space="preserve"> accessibility</w:t>
      </w:r>
      <w:r w:rsidR="00FB53E8" w:rsidRPr="00502ECB">
        <w:rPr>
          <w:bCs/>
        </w:rPr>
        <w:t xml:space="preserve"> barriers concerning information and </w:t>
      </w:r>
      <w:r w:rsidRPr="00502ECB">
        <w:rPr>
          <w:bCs/>
        </w:rPr>
        <w:t>communication</w:t>
      </w:r>
      <w:r w:rsidR="00FB53E8" w:rsidRPr="00502ECB">
        <w:rPr>
          <w:bCs/>
        </w:rPr>
        <w:t>, including communication technologies and systems.</w:t>
      </w:r>
    </w:p>
    <w:p w14:paraId="17832F55" w14:textId="1929B48C" w:rsidR="00314FAD" w:rsidRPr="00502ECB" w:rsidRDefault="00314FAD" w:rsidP="00314FAD">
      <w:pPr>
        <w:pStyle w:val="SingleTxtG"/>
        <w:rPr>
          <w:b/>
        </w:rPr>
      </w:pPr>
      <w:r w:rsidRPr="00502ECB">
        <w:rPr>
          <w:bCs/>
        </w:rPr>
        <w:t>20.</w:t>
      </w:r>
      <w:r w:rsidRPr="00502ECB">
        <w:rPr>
          <w:b/>
        </w:rPr>
        <w:tab/>
      </w:r>
      <w:r w:rsidR="00E55920" w:rsidRPr="00502ECB">
        <w:rPr>
          <w:b/>
        </w:rPr>
        <w:t xml:space="preserve">With reference to the </w:t>
      </w:r>
      <w:r w:rsidRPr="00502ECB">
        <w:rPr>
          <w:b/>
        </w:rPr>
        <w:t>Committee</w:t>
      </w:r>
      <w:r w:rsidR="00E55920" w:rsidRPr="00502ECB">
        <w:rPr>
          <w:b/>
        </w:rPr>
        <w:t xml:space="preserve">’s </w:t>
      </w:r>
      <w:r w:rsidR="0048681E" w:rsidRPr="00502ECB">
        <w:rPr>
          <w:b/>
        </w:rPr>
        <w:t xml:space="preserve">general comment on article 9 (2014) </w:t>
      </w:r>
      <w:r w:rsidR="00E55920" w:rsidRPr="00502ECB">
        <w:rPr>
          <w:b/>
        </w:rPr>
        <w:t xml:space="preserve">on </w:t>
      </w:r>
      <w:r w:rsidR="0048681E" w:rsidRPr="00502ECB">
        <w:rPr>
          <w:b/>
        </w:rPr>
        <w:t>accessibility</w:t>
      </w:r>
      <w:r w:rsidR="00E55920" w:rsidRPr="00502ECB">
        <w:rPr>
          <w:b/>
        </w:rPr>
        <w:t xml:space="preserve">, the Committee </w:t>
      </w:r>
      <w:r w:rsidRPr="00502ECB">
        <w:rPr>
          <w:b/>
        </w:rPr>
        <w:t>recommends that the State party</w:t>
      </w:r>
      <w:r w:rsidR="0048681E" w:rsidRPr="00502ECB">
        <w:rPr>
          <w:b/>
        </w:rPr>
        <w:t>, in consultation with organizations of persons with disabilities</w:t>
      </w:r>
      <w:r w:rsidRPr="00502ECB">
        <w:rPr>
          <w:b/>
        </w:rPr>
        <w:t>:</w:t>
      </w:r>
    </w:p>
    <w:p w14:paraId="1EBB8C33" w14:textId="4C6CA345" w:rsidR="00314FAD" w:rsidRPr="00502ECB" w:rsidRDefault="00741881" w:rsidP="00314FAD">
      <w:pPr>
        <w:pStyle w:val="SingleTxtG"/>
        <w:ind w:firstLine="567"/>
        <w:rPr>
          <w:b/>
        </w:rPr>
      </w:pPr>
      <w:r w:rsidRPr="00502ECB">
        <w:rPr>
          <w:b/>
        </w:rPr>
        <w:t>(</w:t>
      </w:r>
      <w:r w:rsidR="00314FAD" w:rsidRPr="00502ECB">
        <w:rPr>
          <w:b/>
        </w:rPr>
        <w:t>a)</w:t>
      </w:r>
      <w:r w:rsidR="00314FAD" w:rsidRPr="00502ECB">
        <w:rPr>
          <w:b/>
        </w:rPr>
        <w:tab/>
      </w:r>
      <w:r w:rsidR="003644EC">
        <w:rPr>
          <w:b/>
        </w:rPr>
        <w:t>Draft and e</w:t>
      </w:r>
      <w:r w:rsidR="00935168" w:rsidRPr="00502ECB">
        <w:rPr>
          <w:b/>
        </w:rPr>
        <w:t xml:space="preserve">nact legislation </w:t>
      </w:r>
      <w:r w:rsidR="006D3A90" w:rsidRPr="00502ECB">
        <w:rPr>
          <w:b/>
        </w:rPr>
        <w:t xml:space="preserve">on </w:t>
      </w:r>
      <w:r w:rsidR="00935168" w:rsidRPr="00502ECB">
        <w:rPr>
          <w:b/>
        </w:rPr>
        <w:t>accessibility, including the draft Law on Web and Mobile Application Accessibility</w:t>
      </w:r>
      <w:r w:rsidR="006D3A90" w:rsidRPr="00502ECB">
        <w:rPr>
          <w:b/>
        </w:rPr>
        <w:t>,</w:t>
      </w:r>
      <w:r w:rsidR="00935168" w:rsidRPr="00502ECB">
        <w:rPr>
          <w:b/>
        </w:rPr>
        <w:t xml:space="preserve"> and a national </w:t>
      </w:r>
      <w:r w:rsidR="0048681E" w:rsidRPr="00502ECB">
        <w:rPr>
          <w:b/>
        </w:rPr>
        <w:t xml:space="preserve">strategy </w:t>
      </w:r>
      <w:r w:rsidR="00E804B3" w:rsidRPr="00502ECB">
        <w:rPr>
          <w:b/>
        </w:rPr>
        <w:t xml:space="preserve">and accessibility </w:t>
      </w:r>
      <w:r w:rsidR="0048681E" w:rsidRPr="00502ECB">
        <w:rPr>
          <w:b/>
        </w:rPr>
        <w:t xml:space="preserve">plan </w:t>
      </w:r>
      <w:r w:rsidR="003128FE" w:rsidRPr="00502ECB">
        <w:rPr>
          <w:b/>
        </w:rPr>
        <w:t xml:space="preserve">to implement </w:t>
      </w:r>
      <w:r w:rsidR="0048681E" w:rsidRPr="00502ECB">
        <w:rPr>
          <w:b/>
        </w:rPr>
        <w:t>accessibility</w:t>
      </w:r>
      <w:r w:rsidR="006D3A90" w:rsidRPr="00502ECB">
        <w:rPr>
          <w:b/>
        </w:rPr>
        <w:t xml:space="preserve"> requirements</w:t>
      </w:r>
      <w:r w:rsidR="0048681E" w:rsidRPr="00502ECB">
        <w:rPr>
          <w:b/>
        </w:rPr>
        <w:t xml:space="preserve"> in all areas of life, </w:t>
      </w:r>
      <w:r w:rsidR="00935168" w:rsidRPr="00502ECB">
        <w:rPr>
          <w:b/>
        </w:rPr>
        <w:t xml:space="preserve">with </w:t>
      </w:r>
      <w:r w:rsidR="0048681E" w:rsidRPr="00502ECB">
        <w:rPr>
          <w:b/>
        </w:rPr>
        <w:t xml:space="preserve">timeframes and </w:t>
      </w:r>
      <w:r w:rsidR="00935168" w:rsidRPr="00502ECB">
        <w:rPr>
          <w:b/>
        </w:rPr>
        <w:t xml:space="preserve">benchmarks based on best international practices, and provide for sufficient funding for their </w:t>
      </w:r>
      <w:proofErr w:type="gramStart"/>
      <w:r w:rsidR="00935168" w:rsidRPr="00502ECB">
        <w:rPr>
          <w:b/>
        </w:rPr>
        <w:t>implementation</w:t>
      </w:r>
      <w:r w:rsidR="0048681E" w:rsidRPr="00502ECB">
        <w:rPr>
          <w:b/>
        </w:rPr>
        <w:t>;</w:t>
      </w:r>
      <w:proofErr w:type="gramEnd"/>
    </w:p>
    <w:p w14:paraId="7840A9BD" w14:textId="7922D302" w:rsidR="00E55920" w:rsidRPr="00502ECB" w:rsidRDefault="00741881" w:rsidP="00314FAD">
      <w:pPr>
        <w:pStyle w:val="SingleTxtG"/>
        <w:ind w:firstLine="567"/>
        <w:rPr>
          <w:b/>
        </w:rPr>
      </w:pPr>
      <w:r w:rsidRPr="00502ECB">
        <w:rPr>
          <w:b/>
        </w:rPr>
        <w:t>(</w:t>
      </w:r>
      <w:r w:rsidR="00314FAD" w:rsidRPr="00502ECB">
        <w:rPr>
          <w:b/>
        </w:rPr>
        <w:t>b)</w:t>
      </w:r>
      <w:r w:rsidR="00314FAD" w:rsidRPr="00502ECB">
        <w:rPr>
          <w:b/>
        </w:rPr>
        <w:tab/>
      </w:r>
      <w:r w:rsidR="00E55920" w:rsidRPr="00502ECB">
        <w:rPr>
          <w:b/>
        </w:rPr>
        <w:t xml:space="preserve">Increase annual funding for accessibility projects to improve accessibility of public spaces, including outdoor </w:t>
      </w:r>
      <w:r w:rsidR="006D3A90" w:rsidRPr="00502ECB">
        <w:rPr>
          <w:b/>
        </w:rPr>
        <w:t xml:space="preserve">areas, </w:t>
      </w:r>
      <w:r w:rsidR="00E55920" w:rsidRPr="00502ECB">
        <w:rPr>
          <w:b/>
        </w:rPr>
        <w:t xml:space="preserve">and new and existing buildings, especially those used for educational, health, administrative, and cultural </w:t>
      </w:r>
      <w:proofErr w:type="gramStart"/>
      <w:r w:rsidR="00E55920" w:rsidRPr="00502ECB">
        <w:rPr>
          <w:b/>
        </w:rPr>
        <w:t>purposes;</w:t>
      </w:r>
      <w:proofErr w:type="gramEnd"/>
    </w:p>
    <w:p w14:paraId="1BFE3C79" w14:textId="54C8C5B6" w:rsidR="00314FAD" w:rsidRPr="00502ECB" w:rsidRDefault="00E55920" w:rsidP="00314FAD">
      <w:pPr>
        <w:pStyle w:val="SingleTxtG"/>
        <w:ind w:firstLine="567"/>
        <w:rPr>
          <w:b/>
        </w:rPr>
      </w:pPr>
      <w:r w:rsidRPr="00502ECB">
        <w:rPr>
          <w:b/>
        </w:rPr>
        <w:t>(c)</w:t>
      </w:r>
      <w:r w:rsidRPr="00502ECB">
        <w:rPr>
          <w:b/>
        </w:rPr>
        <w:tab/>
      </w:r>
      <w:r w:rsidR="00935168" w:rsidRPr="00502ECB">
        <w:rPr>
          <w:b/>
        </w:rPr>
        <w:t xml:space="preserve">Conduct a national assessment </w:t>
      </w:r>
      <w:r w:rsidR="00E804B3" w:rsidRPr="00502ECB">
        <w:rPr>
          <w:b/>
        </w:rPr>
        <w:t xml:space="preserve">about all areas of accessibility </w:t>
      </w:r>
      <w:r w:rsidR="006D3A90" w:rsidRPr="00502ECB">
        <w:rPr>
          <w:b/>
        </w:rPr>
        <w:t xml:space="preserve">encompassed by </w:t>
      </w:r>
      <w:r w:rsidR="00E804B3" w:rsidRPr="00502ECB">
        <w:rPr>
          <w:b/>
        </w:rPr>
        <w:t>the Convention, providing for short and</w:t>
      </w:r>
      <w:r w:rsidRPr="00502ECB">
        <w:rPr>
          <w:b/>
        </w:rPr>
        <w:t xml:space="preserve"> </w:t>
      </w:r>
      <w:r w:rsidR="00E804B3" w:rsidRPr="00502ECB">
        <w:rPr>
          <w:b/>
        </w:rPr>
        <w:t>long</w:t>
      </w:r>
      <w:r w:rsidRPr="00502ECB">
        <w:rPr>
          <w:b/>
        </w:rPr>
        <w:t>-</w:t>
      </w:r>
      <w:r w:rsidR="00E804B3" w:rsidRPr="00502ECB">
        <w:rPr>
          <w:b/>
        </w:rPr>
        <w:t xml:space="preserve">term </w:t>
      </w:r>
      <w:r w:rsidR="006D3A90" w:rsidRPr="00502ECB">
        <w:rPr>
          <w:b/>
        </w:rPr>
        <w:t xml:space="preserve">measures </w:t>
      </w:r>
      <w:r w:rsidR="00E804B3" w:rsidRPr="00502ECB">
        <w:rPr>
          <w:b/>
        </w:rPr>
        <w:t xml:space="preserve">to be taken by public and private </w:t>
      </w:r>
      <w:proofErr w:type="gramStart"/>
      <w:r w:rsidR="00E804B3" w:rsidRPr="00502ECB">
        <w:rPr>
          <w:b/>
        </w:rPr>
        <w:t>stakeholders</w:t>
      </w:r>
      <w:r w:rsidR="00314FAD" w:rsidRPr="00502ECB">
        <w:rPr>
          <w:b/>
        </w:rPr>
        <w:t>;</w:t>
      </w:r>
      <w:proofErr w:type="gramEnd"/>
    </w:p>
    <w:p w14:paraId="0362AD6D" w14:textId="05BB2A26" w:rsidR="00314FAD" w:rsidRPr="00502ECB" w:rsidRDefault="00741881" w:rsidP="00314FAD">
      <w:pPr>
        <w:pStyle w:val="SingleTxtG"/>
        <w:ind w:firstLine="567"/>
        <w:rPr>
          <w:b/>
        </w:rPr>
      </w:pPr>
      <w:r w:rsidRPr="00502ECB">
        <w:rPr>
          <w:b/>
        </w:rPr>
        <w:t>(</w:t>
      </w:r>
      <w:r w:rsidR="00E55920" w:rsidRPr="00502ECB">
        <w:rPr>
          <w:b/>
        </w:rPr>
        <w:t>d</w:t>
      </w:r>
      <w:r w:rsidR="00314FAD" w:rsidRPr="00502ECB">
        <w:rPr>
          <w:b/>
        </w:rPr>
        <w:t>)</w:t>
      </w:r>
      <w:r w:rsidR="00314FAD" w:rsidRPr="00502ECB">
        <w:rPr>
          <w:b/>
        </w:rPr>
        <w:tab/>
      </w:r>
      <w:r w:rsidR="00935168" w:rsidRPr="00502ECB">
        <w:rPr>
          <w:b/>
        </w:rPr>
        <w:t>E</w:t>
      </w:r>
      <w:r w:rsidR="00314FAD" w:rsidRPr="00502ECB">
        <w:rPr>
          <w:b/>
        </w:rPr>
        <w:t xml:space="preserve">stablish a monitoring, reporting and evaluation system that comprehensively evaluates the implementation of the National Accessibility </w:t>
      </w:r>
      <w:r w:rsidR="00E55920" w:rsidRPr="00502ECB">
        <w:rPr>
          <w:b/>
        </w:rPr>
        <w:t xml:space="preserve">Standards and its related </w:t>
      </w:r>
      <w:r w:rsidR="00314FAD" w:rsidRPr="00502ECB">
        <w:rPr>
          <w:b/>
        </w:rPr>
        <w:t>projects,</w:t>
      </w:r>
      <w:r w:rsidR="00E55920" w:rsidRPr="00502ECB">
        <w:rPr>
          <w:b/>
        </w:rPr>
        <w:t xml:space="preserve"> ensuring </w:t>
      </w:r>
      <w:r w:rsidR="006D3A90" w:rsidRPr="00502ECB">
        <w:rPr>
          <w:b/>
        </w:rPr>
        <w:t xml:space="preserve">redress and </w:t>
      </w:r>
      <w:r w:rsidR="00E55920" w:rsidRPr="00502ECB">
        <w:rPr>
          <w:b/>
        </w:rPr>
        <w:t xml:space="preserve">sanctions for </w:t>
      </w:r>
      <w:proofErr w:type="gramStart"/>
      <w:r w:rsidR="00E55920" w:rsidRPr="00502ECB">
        <w:rPr>
          <w:b/>
        </w:rPr>
        <w:t>non-compliance</w:t>
      </w:r>
      <w:r w:rsidR="00314FAD" w:rsidRPr="00502ECB">
        <w:rPr>
          <w:b/>
        </w:rPr>
        <w:t>;</w:t>
      </w:r>
      <w:proofErr w:type="gramEnd"/>
    </w:p>
    <w:p w14:paraId="258E7425" w14:textId="18289E1A" w:rsidR="00FB53E8" w:rsidRPr="00502ECB" w:rsidRDefault="00FB53E8" w:rsidP="00314FAD">
      <w:pPr>
        <w:pStyle w:val="SingleTxtG"/>
        <w:ind w:firstLine="567"/>
        <w:rPr>
          <w:b/>
        </w:rPr>
      </w:pPr>
      <w:r w:rsidRPr="00502ECB">
        <w:rPr>
          <w:b/>
        </w:rPr>
        <w:t>(</w:t>
      </w:r>
      <w:r w:rsidR="00E55920" w:rsidRPr="00502ECB">
        <w:rPr>
          <w:b/>
        </w:rPr>
        <w:t>e</w:t>
      </w:r>
      <w:r w:rsidR="008931E4">
        <w:rPr>
          <w:b/>
        </w:rPr>
        <w:t>)</w:t>
      </w:r>
      <w:r w:rsidR="00E55920" w:rsidRPr="00502ECB">
        <w:rPr>
          <w:b/>
        </w:rPr>
        <w:tab/>
      </w:r>
      <w:r w:rsidR="00741881" w:rsidRPr="00502ECB">
        <w:rPr>
          <w:b/>
        </w:rPr>
        <w:t xml:space="preserve">Ensure human, </w:t>
      </w:r>
      <w:proofErr w:type="gramStart"/>
      <w:r w:rsidR="00741881" w:rsidRPr="00502ECB">
        <w:rPr>
          <w:b/>
        </w:rPr>
        <w:t>technical</w:t>
      </w:r>
      <w:proofErr w:type="gramEnd"/>
      <w:r w:rsidR="00741881" w:rsidRPr="00502ECB">
        <w:rPr>
          <w:b/>
        </w:rPr>
        <w:t xml:space="preserve"> and financial resources</w:t>
      </w:r>
      <w:r w:rsidR="00452251" w:rsidRPr="00502ECB">
        <w:rPr>
          <w:b/>
        </w:rPr>
        <w:t>,</w:t>
      </w:r>
      <w:r w:rsidRPr="00502ECB">
        <w:rPr>
          <w:b/>
        </w:rPr>
        <w:t xml:space="preserve"> </w:t>
      </w:r>
      <w:r w:rsidR="00452251" w:rsidRPr="00502ECB">
        <w:rPr>
          <w:b/>
        </w:rPr>
        <w:t xml:space="preserve">to provide for </w:t>
      </w:r>
      <w:r w:rsidRPr="00502ECB">
        <w:rPr>
          <w:b/>
        </w:rPr>
        <w:t>sign language interpretation, subtitles, captioning, audio description, Braille, Easy Read in all spheres of life.</w:t>
      </w:r>
    </w:p>
    <w:p w14:paraId="6C477E30" w14:textId="029360C6" w:rsidR="00350FB4" w:rsidRPr="00502ECB" w:rsidRDefault="00350FB4" w:rsidP="00350FB4">
      <w:pPr>
        <w:pStyle w:val="H23G"/>
        <w:outlineLvl w:val="2"/>
      </w:pPr>
      <w:r w:rsidRPr="00502ECB">
        <w:tab/>
      </w:r>
      <w:r w:rsidRPr="00502ECB">
        <w:tab/>
        <w:t>Right to life (art. 10)</w:t>
      </w:r>
    </w:p>
    <w:p w14:paraId="2EDE4AD6" w14:textId="54B7A913" w:rsidR="00B059AE" w:rsidRPr="00502ECB" w:rsidRDefault="00350FB4" w:rsidP="00B059AE">
      <w:pPr>
        <w:pStyle w:val="SingleTxtG"/>
      </w:pPr>
      <w:r w:rsidRPr="00502ECB">
        <w:t>21.</w:t>
      </w:r>
      <w:r w:rsidRPr="00502ECB">
        <w:tab/>
        <w:t xml:space="preserve">The Committee is concerned </w:t>
      </w:r>
      <w:r w:rsidR="00B059AE" w:rsidRPr="00502ECB">
        <w:t xml:space="preserve">that: </w:t>
      </w:r>
    </w:p>
    <w:p w14:paraId="7EB236B0" w14:textId="630BAEB4" w:rsidR="00B059AE" w:rsidRPr="00502ECB" w:rsidRDefault="00B059AE" w:rsidP="00B059AE">
      <w:pPr>
        <w:pStyle w:val="SingleTxtG"/>
        <w:ind w:firstLine="567"/>
        <w:rPr>
          <w:bCs/>
        </w:rPr>
      </w:pPr>
      <w:r w:rsidRPr="00502ECB">
        <w:t>(</w:t>
      </w:r>
      <w:r w:rsidRPr="00502ECB">
        <w:rPr>
          <w:bCs/>
        </w:rPr>
        <w:t>a)</w:t>
      </w:r>
      <w:r w:rsidR="008931E4">
        <w:rPr>
          <w:bCs/>
        </w:rPr>
        <w:tab/>
      </w:r>
      <w:r w:rsidRPr="00502ECB">
        <w:rPr>
          <w:bCs/>
        </w:rPr>
        <w:t>According to paragraph 2 of Article 148 of the Law of Georgia on Healthcare, if a person with a terminal illness is unconscious, a relative or a legitimate representative has the right to decline the services of resuscitation, end-of-life-care and palliative care and/or palliative treatment for the patient</w:t>
      </w:r>
      <w:r w:rsidR="00C83B61" w:rsidRPr="00502ECB">
        <w:rPr>
          <w:bCs/>
        </w:rPr>
        <w:t xml:space="preserve">, </w:t>
      </w:r>
      <w:r w:rsidR="00C83B61" w:rsidRPr="00502ECB">
        <w:t>referred to by the State party in its replies to the list of issues and questions (CPRD/C/GEO/RQ/1 para, 54)</w:t>
      </w:r>
      <w:r w:rsidRPr="00502ECB">
        <w:rPr>
          <w:bCs/>
        </w:rPr>
        <w:t>;</w:t>
      </w:r>
    </w:p>
    <w:p w14:paraId="20E9CC3C" w14:textId="002D9973" w:rsidR="00B059AE" w:rsidRPr="00502ECB" w:rsidRDefault="00B059AE" w:rsidP="00B059AE">
      <w:pPr>
        <w:pStyle w:val="SingleTxtG"/>
        <w:ind w:firstLine="567"/>
        <w:rPr>
          <w:bCs/>
        </w:rPr>
      </w:pPr>
      <w:r w:rsidRPr="00502ECB">
        <w:rPr>
          <w:bCs/>
        </w:rPr>
        <w:t>(b)</w:t>
      </w:r>
      <w:r w:rsidRPr="00502ECB">
        <w:rPr>
          <w:bCs/>
        </w:rPr>
        <w:tab/>
      </w:r>
      <w:r w:rsidRPr="00502ECB">
        <w:t>Substitute decision-making curtails the right of persons with disabilities under guardianship to take decisions concerning their healthcare and treatment, particularly life -ending measures</w:t>
      </w:r>
      <w:r w:rsidR="0047480E" w:rsidRPr="00502ECB">
        <w:t>,</w:t>
      </w:r>
      <w:r w:rsidRPr="00502ECB">
        <w:t xml:space="preserve"> and that decisions made by legal representative</w:t>
      </w:r>
      <w:r w:rsidR="00C83B61" w:rsidRPr="00502ECB">
        <w:t>s</w:t>
      </w:r>
      <w:r w:rsidRPr="00502ECB">
        <w:t xml:space="preserve"> and healthcare practitioners prevail</w:t>
      </w:r>
      <w:r w:rsidR="00C83B61" w:rsidRPr="00502ECB">
        <w:t xml:space="preserve"> (CPRD/C/GEO/RQ/1 para, 56). </w:t>
      </w:r>
    </w:p>
    <w:p w14:paraId="444CE121" w14:textId="436CEAAE" w:rsidR="00B059AE" w:rsidRPr="00502ECB" w:rsidRDefault="008931E4" w:rsidP="00B059AE">
      <w:pPr>
        <w:pStyle w:val="SingleTxtG"/>
      </w:pPr>
      <w:r>
        <w:t>22.</w:t>
      </w:r>
      <w:r w:rsidR="00B059AE" w:rsidRPr="00502ECB">
        <w:tab/>
      </w:r>
      <w:r w:rsidR="00B059AE" w:rsidRPr="00502ECB">
        <w:rPr>
          <w:b/>
          <w:bCs/>
        </w:rPr>
        <w:t>The Committee recommends that the State party</w:t>
      </w:r>
      <w:r w:rsidR="00DC039E" w:rsidRPr="00502ECB">
        <w:rPr>
          <w:b/>
          <w:bCs/>
        </w:rPr>
        <w:t>, in consultation with organizations of persons with disabilities and the Public Defender of Georgia</w:t>
      </w:r>
      <w:r w:rsidR="00B059AE" w:rsidRPr="00502ECB">
        <w:rPr>
          <w:b/>
          <w:bCs/>
        </w:rPr>
        <w:t>:</w:t>
      </w:r>
    </w:p>
    <w:p w14:paraId="2E25F173" w14:textId="32D9691D" w:rsidR="00B059AE" w:rsidRPr="008931E4" w:rsidRDefault="00B059AE" w:rsidP="008931E4">
      <w:pPr>
        <w:pStyle w:val="SingleTxtG"/>
        <w:ind w:firstLine="709"/>
        <w:rPr>
          <w:b/>
        </w:rPr>
      </w:pPr>
      <w:r w:rsidRPr="008931E4">
        <w:rPr>
          <w:b/>
        </w:rPr>
        <w:t>(a)</w:t>
      </w:r>
      <w:r w:rsidR="008931E4" w:rsidRPr="008931E4">
        <w:rPr>
          <w:b/>
        </w:rPr>
        <w:tab/>
      </w:r>
      <w:r w:rsidRPr="008931E4">
        <w:rPr>
          <w:b/>
          <w:bCs/>
        </w:rPr>
        <w:t xml:space="preserve">Repeal provisions that allow for denial of end-of-life care and palliative  care on the basis of third parties' </w:t>
      </w:r>
      <w:r w:rsidR="001C2CE0" w:rsidRPr="008931E4">
        <w:rPr>
          <w:b/>
          <w:bCs/>
        </w:rPr>
        <w:t xml:space="preserve">assessments </w:t>
      </w:r>
      <w:r w:rsidRPr="008931E4">
        <w:rPr>
          <w:b/>
          <w:bCs/>
        </w:rPr>
        <w:t xml:space="preserve">and reaffirm the value of lives of persons  with disabilities on </w:t>
      </w:r>
      <w:r w:rsidR="001C2CE0" w:rsidRPr="008931E4">
        <w:rPr>
          <w:b/>
          <w:bCs/>
        </w:rPr>
        <w:t xml:space="preserve">an </w:t>
      </w:r>
      <w:r w:rsidRPr="008931E4">
        <w:rPr>
          <w:b/>
          <w:bCs/>
        </w:rPr>
        <w:t xml:space="preserve">equal basis with others, including by taking legislative measures and adopting protocols to ensure that all decisions </w:t>
      </w:r>
      <w:r w:rsidR="001C2CE0" w:rsidRPr="008931E4">
        <w:rPr>
          <w:b/>
          <w:bCs/>
        </w:rPr>
        <w:t xml:space="preserve">about </w:t>
      </w:r>
      <w:r w:rsidRPr="008931E4">
        <w:rPr>
          <w:b/>
          <w:bCs/>
        </w:rPr>
        <w:t xml:space="preserve">medical treatment in life-threatening situations are made on the basis of </w:t>
      </w:r>
      <w:r w:rsidR="001C2CE0" w:rsidRPr="008931E4">
        <w:rPr>
          <w:b/>
          <w:bCs/>
        </w:rPr>
        <w:t xml:space="preserve">the will and preference of the person concerned, and that the latter is provided with </w:t>
      </w:r>
      <w:r w:rsidRPr="008931E4">
        <w:rPr>
          <w:b/>
          <w:bCs/>
        </w:rPr>
        <w:t>appropriate support;</w:t>
      </w:r>
    </w:p>
    <w:p w14:paraId="55CC03DC" w14:textId="65074E84" w:rsidR="00B059AE" w:rsidRPr="00502ECB" w:rsidRDefault="008931E4" w:rsidP="008931E4">
      <w:pPr>
        <w:pStyle w:val="SingleTxtG"/>
        <w:ind w:firstLine="709"/>
      </w:pPr>
      <w:r w:rsidRPr="008931E4">
        <w:rPr>
          <w:b/>
        </w:rPr>
        <w:t>(</w:t>
      </w:r>
      <w:r w:rsidR="00B059AE" w:rsidRPr="008931E4">
        <w:rPr>
          <w:b/>
        </w:rPr>
        <w:t>b)</w:t>
      </w:r>
      <w:r>
        <w:tab/>
      </w:r>
      <w:r w:rsidR="00B059AE" w:rsidRPr="00502ECB">
        <w:rPr>
          <w:b/>
          <w:bCs/>
        </w:rPr>
        <w:t xml:space="preserve">Review its legislation </w:t>
      </w:r>
      <w:r w:rsidR="001C2CE0" w:rsidRPr="00502ECB">
        <w:rPr>
          <w:b/>
          <w:bCs/>
        </w:rPr>
        <w:t>and</w:t>
      </w:r>
      <w:r w:rsidR="00B059AE" w:rsidRPr="00502ECB">
        <w:rPr>
          <w:b/>
          <w:bCs/>
        </w:rPr>
        <w:t xml:space="preserve"> amend provisions that restrict the autonomy of persons with disabilities </w:t>
      </w:r>
      <w:r w:rsidR="001C2CE0" w:rsidRPr="00502ECB">
        <w:rPr>
          <w:b/>
          <w:bCs/>
        </w:rPr>
        <w:t xml:space="preserve">in </w:t>
      </w:r>
      <w:r w:rsidR="00B059AE" w:rsidRPr="00502ECB">
        <w:rPr>
          <w:b/>
          <w:bCs/>
        </w:rPr>
        <w:t>healthcare.</w:t>
      </w:r>
    </w:p>
    <w:p w14:paraId="3129B912" w14:textId="77777777" w:rsidR="00350FB4" w:rsidRPr="00502ECB" w:rsidRDefault="00350FB4" w:rsidP="00350FB4">
      <w:pPr>
        <w:pStyle w:val="H23G"/>
        <w:outlineLvl w:val="2"/>
      </w:pPr>
      <w:r w:rsidRPr="00502ECB">
        <w:lastRenderedPageBreak/>
        <w:tab/>
      </w:r>
      <w:r w:rsidRPr="00502ECB">
        <w:tab/>
        <w:t>Situations of risk and humanitarian emergencies (art. 11)</w:t>
      </w:r>
    </w:p>
    <w:p w14:paraId="30A11877" w14:textId="25CC3693" w:rsidR="00354503" w:rsidRPr="00502ECB" w:rsidRDefault="00350FB4" w:rsidP="00354503">
      <w:pPr>
        <w:pStyle w:val="SingleTxtG"/>
        <w:rPr>
          <w:lang w:val="en-US"/>
        </w:rPr>
      </w:pPr>
      <w:r w:rsidRPr="00502ECB">
        <w:t>2</w:t>
      </w:r>
      <w:r w:rsidR="00855803" w:rsidRPr="00502ECB">
        <w:t>3</w:t>
      </w:r>
      <w:r w:rsidRPr="00502ECB">
        <w:t>.</w:t>
      </w:r>
      <w:r w:rsidRPr="00502ECB">
        <w:tab/>
        <w:t>The Committee is concerned about:</w:t>
      </w:r>
      <w:r w:rsidR="00354503" w:rsidRPr="00502ECB">
        <w:rPr>
          <w:lang w:val="en-US"/>
        </w:rPr>
        <w:t xml:space="preserve"> </w:t>
      </w:r>
    </w:p>
    <w:p w14:paraId="12B7EA21" w14:textId="15585590" w:rsidR="00B065EC" w:rsidRPr="00502ECB" w:rsidRDefault="00354503" w:rsidP="00354503">
      <w:pPr>
        <w:pStyle w:val="SingleTxtG"/>
        <w:ind w:firstLine="567"/>
        <w:rPr>
          <w:lang w:val="en-US"/>
        </w:rPr>
      </w:pPr>
      <w:r w:rsidRPr="00502ECB">
        <w:rPr>
          <w:lang w:val="en-US"/>
        </w:rPr>
        <w:t>(a)</w:t>
      </w:r>
      <w:r w:rsidRPr="00502ECB">
        <w:rPr>
          <w:lang w:val="en-US"/>
        </w:rPr>
        <w:tab/>
      </w:r>
      <w:r w:rsidR="00B065EC" w:rsidRPr="00502ECB">
        <w:rPr>
          <w:lang w:val="en-US"/>
        </w:rPr>
        <w:t xml:space="preserve">The </w:t>
      </w:r>
      <w:r w:rsidR="00713787" w:rsidRPr="00502ECB">
        <w:rPr>
          <w:lang w:val="en-US"/>
        </w:rPr>
        <w:t>lack of a disability-inclusive perspective of</w:t>
      </w:r>
      <w:r w:rsidR="00B065EC" w:rsidRPr="00502ECB">
        <w:rPr>
          <w:lang w:val="en-US"/>
        </w:rPr>
        <w:t xml:space="preserve"> plans to manage situations of crisis, including </w:t>
      </w:r>
      <w:r w:rsidR="00B065EC" w:rsidRPr="00502ECB">
        <w:t xml:space="preserve">accessibility for persons with disabilities of crisis communication, risk information, critical infrastructure and </w:t>
      </w:r>
      <w:proofErr w:type="gramStart"/>
      <w:r w:rsidR="00B065EC" w:rsidRPr="00502ECB">
        <w:t>services;</w:t>
      </w:r>
      <w:proofErr w:type="gramEnd"/>
    </w:p>
    <w:p w14:paraId="394BE19A" w14:textId="7EC07C48" w:rsidR="00A8479E" w:rsidRPr="00502ECB" w:rsidRDefault="00B065EC" w:rsidP="00354503">
      <w:pPr>
        <w:pStyle w:val="SingleTxtG"/>
        <w:ind w:firstLine="567"/>
        <w:rPr>
          <w:lang w:val="en-US"/>
        </w:rPr>
      </w:pPr>
      <w:r w:rsidRPr="00502ECB">
        <w:rPr>
          <w:lang w:val="en-US"/>
        </w:rPr>
        <w:t>(b)</w:t>
      </w:r>
      <w:r w:rsidRPr="00502ECB">
        <w:rPr>
          <w:lang w:val="en-US"/>
        </w:rPr>
        <w:tab/>
      </w:r>
      <w:r w:rsidR="00A8479E" w:rsidRPr="00502ECB">
        <w:t xml:space="preserve">The lack of </w:t>
      </w:r>
      <w:r w:rsidR="00A8479E" w:rsidRPr="00502ECB">
        <w:rPr>
          <w:lang w:val="en-US"/>
        </w:rPr>
        <w:t xml:space="preserve">mechanisms </w:t>
      </w:r>
      <w:r w:rsidR="00A17527">
        <w:rPr>
          <w:lang w:val="en-US"/>
        </w:rPr>
        <w:t xml:space="preserve">to </w:t>
      </w:r>
      <w:r w:rsidR="00A8479E" w:rsidRPr="00502ECB">
        <w:rPr>
          <w:lang w:val="en-US"/>
        </w:rPr>
        <w:t>facilitat</w:t>
      </w:r>
      <w:r w:rsidR="00A17527">
        <w:rPr>
          <w:lang w:val="en-US"/>
        </w:rPr>
        <w:t>e</w:t>
      </w:r>
      <w:r w:rsidR="00A8479E" w:rsidRPr="00502ECB">
        <w:rPr>
          <w:lang w:val="en-US"/>
        </w:rPr>
        <w:t xml:space="preserve"> participation of organizations of persons with disabilities in disaster risk reduction policies and strategies, and in the recovery </w:t>
      </w:r>
      <w:proofErr w:type="gramStart"/>
      <w:r w:rsidR="00A8479E" w:rsidRPr="00502ECB">
        <w:rPr>
          <w:lang w:val="en-US"/>
        </w:rPr>
        <w:t>phase;</w:t>
      </w:r>
      <w:proofErr w:type="gramEnd"/>
    </w:p>
    <w:p w14:paraId="54053F8F" w14:textId="53794D7A" w:rsidR="00374780" w:rsidRPr="00502ECB" w:rsidRDefault="00A8479E" w:rsidP="00354503">
      <w:pPr>
        <w:pStyle w:val="SingleTxtG"/>
        <w:ind w:firstLine="567"/>
        <w:rPr>
          <w:lang w:val="en-US"/>
        </w:rPr>
      </w:pPr>
      <w:r w:rsidRPr="00502ECB">
        <w:rPr>
          <w:lang w:val="en-US"/>
        </w:rPr>
        <w:t>(c)</w:t>
      </w:r>
      <w:r w:rsidRPr="00502ECB">
        <w:rPr>
          <w:lang w:val="en-US"/>
        </w:rPr>
        <w:tab/>
      </w:r>
      <w:r w:rsidR="00374780" w:rsidRPr="00502ECB">
        <w:rPr>
          <w:lang w:val="en-US"/>
        </w:rPr>
        <w:t xml:space="preserve">The impact of the COVID-19 pandemic </w:t>
      </w:r>
      <w:r w:rsidR="00B065EC" w:rsidRPr="00502ECB">
        <w:rPr>
          <w:lang w:val="en-US"/>
        </w:rPr>
        <w:t>and the measures</w:t>
      </w:r>
      <w:r w:rsidR="00713787" w:rsidRPr="00502ECB">
        <w:rPr>
          <w:lang w:val="en-US"/>
        </w:rPr>
        <w:t xml:space="preserve"> taken to alleviate its consequences</w:t>
      </w:r>
      <w:r w:rsidR="00B065EC" w:rsidRPr="00502ECB">
        <w:rPr>
          <w:lang w:val="en-US"/>
        </w:rPr>
        <w:t xml:space="preserve">, </w:t>
      </w:r>
      <w:r w:rsidR="0065628D" w:rsidRPr="00502ECB">
        <w:rPr>
          <w:lang w:val="en-US"/>
        </w:rPr>
        <w:t xml:space="preserve">particularly </w:t>
      </w:r>
      <w:r w:rsidR="000E06E9" w:rsidRPr="00502ECB">
        <w:rPr>
          <w:lang w:val="en-US"/>
        </w:rPr>
        <w:t xml:space="preserve">restrictions </w:t>
      </w:r>
      <w:r w:rsidR="00B065EC" w:rsidRPr="00502ECB">
        <w:rPr>
          <w:lang w:val="en-US"/>
        </w:rPr>
        <w:t>to</w:t>
      </w:r>
      <w:r w:rsidR="0065628D" w:rsidRPr="00502ECB">
        <w:rPr>
          <w:lang w:val="en-US"/>
        </w:rPr>
        <w:t xml:space="preserve"> use</w:t>
      </w:r>
      <w:r w:rsidR="000E06E9" w:rsidRPr="00502ECB">
        <w:rPr>
          <w:lang w:val="en-US"/>
        </w:rPr>
        <w:t xml:space="preserve"> public transport, </w:t>
      </w:r>
      <w:r w:rsidR="0065628D" w:rsidRPr="00502ECB">
        <w:rPr>
          <w:lang w:val="en-US"/>
        </w:rPr>
        <w:t>non-accessibility</w:t>
      </w:r>
      <w:r w:rsidR="00B065EC" w:rsidRPr="00502ECB">
        <w:rPr>
          <w:lang w:val="en-US"/>
        </w:rPr>
        <w:t xml:space="preserve"> of remote learning</w:t>
      </w:r>
      <w:r w:rsidR="0065628D" w:rsidRPr="00502ECB">
        <w:rPr>
          <w:lang w:val="en-US"/>
        </w:rPr>
        <w:t xml:space="preserve"> and</w:t>
      </w:r>
      <w:r w:rsidR="000E06E9" w:rsidRPr="00502ECB">
        <w:rPr>
          <w:lang w:val="en-US"/>
        </w:rPr>
        <w:t xml:space="preserve"> medical services, </w:t>
      </w:r>
      <w:r w:rsidR="00B065EC" w:rsidRPr="00502ECB">
        <w:rPr>
          <w:lang w:val="en-US"/>
        </w:rPr>
        <w:t>and the</w:t>
      </w:r>
      <w:r w:rsidR="000E06E9" w:rsidRPr="00502ECB">
        <w:rPr>
          <w:lang w:val="en-US"/>
        </w:rPr>
        <w:t xml:space="preserve"> suspension of rehabilitation </w:t>
      </w:r>
      <w:proofErr w:type="spellStart"/>
      <w:proofErr w:type="gramStart"/>
      <w:r w:rsidR="000E06E9" w:rsidRPr="00502ECB">
        <w:rPr>
          <w:lang w:val="en-US"/>
        </w:rPr>
        <w:t>programmes</w:t>
      </w:r>
      <w:proofErr w:type="spellEnd"/>
      <w:r w:rsidR="00374780" w:rsidRPr="00502ECB">
        <w:rPr>
          <w:lang w:val="en-US"/>
        </w:rPr>
        <w:t>;</w:t>
      </w:r>
      <w:proofErr w:type="gramEnd"/>
    </w:p>
    <w:p w14:paraId="054C72C8" w14:textId="7AEE05BE" w:rsidR="00354503" w:rsidRPr="00502ECB" w:rsidRDefault="00354503" w:rsidP="00354503">
      <w:pPr>
        <w:pStyle w:val="SingleTxtG"/>
        <w:ind w:firstLine="567"/>
        <w:rPr>
          <w:lang w:val="en-US"/>
        </w:rPr>
      </w:pPr>
      <w:r w:rsidRPr="00502ECB">
        <w:t>(</w:t>
      </w:r>
      <w:r w:rsidR="00A8479E" w:rsidRPr="00502ECB">
        <w:t>d</w:t>
      </w:r>
      <w:r w:rsidRPr="00502ECB">
        <w:t>)</w:t>
      </w:r>
      <w:r w:rsidR="00A8479E" w:rsidRPr="00502ECB">
        <w:tab/>
        <w:t>The lack of information about the situation and</w:t>
      </w:r>
      <w:r w:rsidR="0065628D" w:rsidRPr="00502ECB">
        <w:t xml:space="preserve"> the</w:t>
      </w:r>
      <w:r w:rsidR="00A8479E" w:rsidRPr="00502ECB">
        <w:t xml:space="preserve"> rights of persons with disabilities in the occupied territories of Abkhazia, Georgia</w:t>
      </w:r>
      <w:r w:rsidR="0065628D" w:rsidRPr="00502ECB">
        <w:t>,</w:t>
      </w:r>
      <w:r w:rsidR="00A8479E" w:rsidRPr="00502ECB">
        <w:t xml:space="preserve"> and Tskhinvali Region/South Ossetia</w:t>
      </w:r>
      <w:r w:rsidR="0065628D" w:rsidRPr="00502ECB">
        <w:t>, Georgia</w:t>
      </w:r>
      <w:r w:rsidR="00A8479E" w:rsidRPr="00502ECB">
        <w:t>, including measures related to the possibility for persons with disabilities to access humanitarian aid and to essential services in the community.</w:t>
      </w:r>
    </w:p>
    <w:p w14:paraId="73952730" w14:textId="12134B40" w:rsidR="00354503" w:rsidRPr="00502ECB" w:rsidRDefault="00354503" w:rsidP="00354503">
      <w:pPr>
        <w:pStyle w:val="SingleTxtG"/>
        <w:rPr>
          <w:b/>
          <w:bCs/>
        </w:rPr>
      </w:pPr>
      <w:r w:rsidRPr="00502ECB">
        <w:rPr>
          <w:lang w:val="en-US"/>
        </w:rPr>
        <w:t>2</w:t>
      </w:r>
      <w:r w:rsidR="00B065EC" w:rsidRPr="00502ECB">
        <w:rPr>
          <w:lang w:val="en-US"/>
        </w:rPr>
        <w:t>4</w:t>
      </w:r>
      <w:r w:rsidRPr="00502ECB">
        <w:rPr>
          <w:lang w:val="en-US"/>
        </w:rPr>
        <w:t>.</w:t>
      </w:r>
      <w:r w:rsidRPr="00502ECB">
        <w:rPr>
          <w:lang w:val="en-US"/>
        </w:rPr>
        <w:tab/>
      </w:r>
      <w:r w:rsidRPr="00502ECB">
        <w:rPr>
          <w:b/>
          <w:bCs/>
        </w:rPr>
        <w:t xml:space="preserve">The Committee recommends </w:t>
      </w:r>
      <w:r w:rsidR="004B1104" w:rsidRPr="00502ECB">
        <w:rPr>
          <w:b/>
          <w:bCs/>
        </w:rPr>
        <w:t xml:space="preserve">that </w:t>
      </w:r>
      <w:r w:rsidRPr="00502ECB">
        <w:rPr>
          <w:b/>
          <w:bCs/>
        </w:rPr>
        <w:t>the State party:</w:t>
      </w:r>
    </w:p>
    <w:p w14:paraId="3C0D57EB" w14:textId="481B6F68" w:rsidR="00354503" w:rsidRPr="008931E4" w:rsidRDefault="00354503" w:rsidP="00354503">
      <w:pPr>
        <w:pStyle w:val="SingleTxtG"/>
        <w:ind w:firstLine="567"/>
        <w:rPr>
          <w:b/>
          <w:bCs/>
        </w:rPr>
      </w:pPr>
      <w:r w:rsidRPr="008931E4">
        <w:rPr>
          <w:b/>
        </w:rPr>
        <w:t>(a)</w:t>
      </w:r>
      <w:r w:rsidRPr="008931E4">
        <w:rPr>
          <w:b/>
        </w:rPr>
        <w:tab/>
      </w:r>
      <w:r w:rsidRPr="008931E4">
        <w:rPr>
          <w:b/>
          <w:bCs/>
        </w:rPr>
        <w:t>Adopt a</w:t>
      </w:r>
      <w:r w:rsidR="0065628D" w:rsidRPr="008931E4">
        <w:rPr>
          <w:b/>
          <w:bCs/>
        </w:rPr>
        <w:t xml:space="preserve"> gender- and disability-responsive</w:t>
      </w:r>
      <w:r w:rsidRPr="008931E4">
        <w:rPr>
          <w:b/>
          <w:bCs/>
        </w:rPr>
        <w:t xml:space="preserve"> strategy</w:t>
      </w:r>
      <w:r w:rsidR="0065628D" w:rsidRPr="008931E4">
        <w:rPr>
          <w:b/>
          <w:bCs/>
        </w:rPr>
        <w:t xml:space="preserve"> </w:t>
      </w:r>
      <w:r w:rsidRPr="008931E4">
        <w:rPr>
          <w:b/>
          <w:bCs/>
        </w:rPr>
        <w:t>to ensure that critical infrastructure as well as risk information and crisis communication are fully accessible, covering</w:t>
      </w:r>
      <w:r w:rsidR="0065628D" w:rsidRPr="008931E4">
        <w:rPr>
          <w:b/>
          <w:bCs/>
        </w:rPr>
        <w:t xml:space="preserve"> all types of impairment,</w:t>
      </w:r>
      <w:r w:rsidRPr="008931E4">
        <w:rPr>
          <w:b/>
          <w:bCs/>
        </w:rPr>
        <w:t xml:space="preserve"> </w:t>
      </w:r>
      <w:r w:rsidR="00B065EC" w:rsidRPr="008931E4">
        <w:rPr>
          <w:b/>
          <w:bCs/>
        </w:rPr>
        <w:t xml:space="preserve">that it </w:t>
      </w:r>
      <w:r w:rsidRPr="008931E4">
        <w:rPr>
          <w:b/>
          <w:bCs/>
        </w:rPr>
        <w:t xml:space="preserve">is available in local languages and accessible formats including </w:t>
      </w:r>
      <w:r w:rsidR="0065628D" w:rsidRPr="008931E4">
        <w:rPr>
          <w:b/>
          <w:bCs/>
        </w:rPr>
        <w:t>Ea</w:t>
      </w:r>
      <w:r w:rsidR="00546935" w:rsidRPr="008931E4">
        <w:rPr>
          <w:b/>
          <w:bCs/>
        </w:rPr>
        <w:t>s</w:t>
      </w:r>
      <w:r w:rsidR="0065628D" w:rsidRPr="008931E4">
        <w:rPr>
          <w:b/>
          <w:bCs/>
        </w:rPr>
        <w:t>y Read and</w:t>
      </w:r>
      <w:r w:rsidR="00546935" w:rsidRPr="008931E4">
        <w:rPr>
          <w:b/>
          <w:bCs/>
        </w:rPr>
        <w:t xml:space="preserve"> </w:t>
      </w:r>
      <w:r w:rsidRPr="008931E4">
        <w:rPr>
          <w:b/>
          <w:bCs/>
        </w:rPr>
        <w:t>sign language, and</w:t>
      </w:r>
      <w:r w:rsidR="00B065EC" w:rsidRPr="008931E4">
        <w:rPr>
          <w:b/>
          <w:bCs/>
        </w:rPr>
        <w:t xml:space="preserve"> that</w:t>
      </w:r>
      <w:r w:rsidRPr="008931E4">
        <w:rPr>
          <w:b/>
          <w:bCs/>
        </w:rPr>
        <w:t xml:space="preserve"> takes into account the Sendai Disaster Risk reduction </w:t>
      </w:r>
      <w:proofErr w:type="gramStart"/>
      <w:r w:rsidRPr="008931E4">
        <w:rPr>
          <w:b/>
          <w:bCs/>
        </w:rPr>
        <w:t>Framework;</w:t>
      </w:r>
      <w:proofErr w:type="gramEnd"/>
      <w:r w:rsidRPr="008931E4">
        <w:rPr>
          <w:b/>
          <w:bCs/>
        </w:rPr>
        <w:t xml:space="preserve"> </w:t>
      </w:r>
    </w:p>
    <w:p w14:paraId="003D0846" w14:textId="40BE3199" w:rsidR="00A8479E" w:rsidRPr="008931E4" w:rsidRDefault="00B065EC" w:rsidP="00354503">
      <w:pPr>
        <w:pStyle w:val="SingleTxtG"/>
        <w:ind w:firstLine="567"/>
        <w:rPr>
          <w:b/>
        </w:rPr>
      </w:pPr>
      <w:r w:rsidRPr="008931E4">
        <w:rPr>
          <w:b/>
        </w:rPr>
        <w:t>(b)</w:t>
      </w:r>
      <w:r w:rsidRPr="008931E4">
        <w:rPr>
          <w:b/>
        </w:rPr>
        <w:tab/>
      </w:r>
      <w:r w:rsidR="00A8479E" w:rsidRPr="008931E4">
        <w:rPr>
          <w:b/>
          <w:bCs/>
        </w:rPr>
        <w:t xml:space="preserve">Establish mechanisms to </w:t>
      </w:r>
      <w:r w:rsidR="0065628D" w:rsidRPr="008931E4">
        <w:rPr>
          <w:b/>
          <w:bCs/>
        </w:rPr>
        <w:t xml:space="preserve">closely </w:t>
      </w:r>
      <w:r w:rsidR="00A8479E" w:rsidRPr="008931E4">
        <w:rPr>
          <w:b/>
          <w:bCs/>
        </w:rPr>
        <w:t xml:space="preserve">consult with and </w:t>
      </w:r>
      <w:r w:rsidR="0065628D" w:rsidRPr="008931E4">
        <w:rPr>
          <w:b/>
          <w:bCs/>
        </w:rPr>
        <w:t xml:space="preserve">actively </w:t>
      </w:r>
      <w:r w:rsidR="00A8479E" w:rsidRPr="008931E4">
        <w:rPr>
          <w:b/>
          <w:bCs/>
        </w:rPr>
        <w:t xml:space="preserve">involve persons with disabilities in preparedness, management and recovery </w:t>
      </w:r>
      <w:r w:rsidR="0065628D" w:rsidRPr="008931E4">
        <w:rPr>
          <w:b/>
          <w:bCs/>
        </w:rPr>
        <w:t>policies</w:t>
      </w:r>
      <w:r w:rsidR="002D0328" w:rsidRPr="008931E4">
        <w:rPr>
          <w:b/>
          <w:bCs/>
        </w:rPr>
        <w:t>, and adopt measures to raise the capacity of organizations of persons with disabilities</w:t>
      </w:r>
      <w:r w:rsidR="00A17527" w:rsidRPr="008931E4">
        <w:rPr>
          <w:b/>
          <w:bCs/>
        </w:rPr>
        <w:t>, including organizations of women with disabilities</w:t>
      </w:r>
      <w:r w:rsidR="002D0328" w:rsidRPr="008931E4">
        <w:rPr>
          <w:b/>
          <w:bCs/>
        </w:rPr>
        <w:t xml:space="preserve"> to enable them to interact effectively with government,</w:t>
      </w:r>
      <w:r w:rsidR="0065628D" w:rsidRPr="008931E4">
        <w:rPr>
          <w:b/>
          <w:bCs/>
        </w:rPr>
        <w:t xml:space="preserve"> administrative entities,</w:t>
      </w:r>
      <w:r w:rsidR="002D0328" w:rsidRPr="008931E4">
        <w:rPr>
          <w:b/>
          <w:bCs/>
        </w:rPr>
        <w:t xml:space="preserve"> the military, rescue and emergency </w:t>
      </w:r>
      <w:r w:rsidR="0065628D" w:rsidRPr="008931E4">
        <w:rPr>
          <w:b/>
          <w:bCs/>
        </w:rPr>
        <w:t>organ</w:t>
      </w:r>
      <w:r w:rsidR="00546935" w:rsidRPr="008931E4">
        <w:rPr>
          <w:b/>
          <w:bCs/>
        </w:rPr>
        <w:t>i</w:t>
      </w:r>
      <w:r w:rsidR="0065628D" w:rsidRPr="008931E4">
        <w:rPr>
          <w:b/>
          <w:bCs/>
        </w:rPr>
        <w:t xml:space="preserve">zations </w:t>
      </w:r>
      <w:r w:rsidR="002D0328" w:rsidRPr="008931E4">
        <w:rPr>
          <w:b/>
          <w:bCs/>
        </w:rPr>
        <w:t xml:space="preserve">and other stakeholders during </w:t>
      </w:r>
      <w:proofErr w:type="gramStart"/>
      <w:r w:rsidR="002D0328" w:rsidRPr="008931E4">
        <w:rPr>
          <w:b/>
          <w:bCs/>
        </w:rPr>
        <w:t>emergencies;</w:t>
      </w:r>
      <w:proofErr w:type="gramEnd"/>
      <w:r w:rsidR="002D0328" w:rsidRPr="008931E4">
        <w:rPr>
          <w:b/>
          <w:bCs/>
        </w:rPr>
        <w:t xml:space="preserve"> </w:t>
      </w:r>
    </w:p>
    <w:p w14:paraId="4A8B465B" w14:textId="2084EC71" w:rsidR="00B065EC" w:rsidRPr="008931E4" w:rsidRDefault="00A8479E" w:rsidP="00354503">
      <w:pPr>
        <w:pStyle w:val="SingleTxtG"/>
        <w:ind w:firstLine="567"/>
        <w:rPr>
          <w:b/>
        </w:rPr>
      </w:pPr>
      <w:r w:rsidRPr="008931E4">
        <w:rPr>
          <w:b/>
        </w:rPr>
        <w:t>(c)</w:t>
      </w:r>
      <w:r w:rsidRPr="008931E4">
        <w:rPr>
          <w:b/>
        </w:rPr>
        <w:tab/>
      </w:r>
      <w:r w:rsidR="009B79F6" w:rsidRPr="008931E4">
        <w:rPr>
          <w:b/>
          <w:bCs/>
          <w:shd w:val="clear" w:color="auto" w:fill="FFFFFF"/>
        </w:rPr>
        <w:t xml:space="preserve">Mainstream disability into its COVID-19 response and recovery plans, including with regard to ensuring equal access to vaccines, health services and other economic and social programmes to tackle the negative impact of the pandemic, and adopt measures </w:t>
      </w:r>
      <w:r w:rsidR="00B97111" w:rsidRPr="008931E4">
        <w:rPr>
          <w:b/>
          <w:bCs/>
          <w:shd w:val="clear" w:color="auto" w:fill="FFFFFF"/>
        </w:rPr>
        <w:t xml:space="preserve">for </w:t>
      </w:r>
      <w:r w:rsidR="009B79F6" w:rsidRPr="008931E4">
        <w:rPr>
          <w:b/>
          <w:bCs/>
          <w:shd w:val="clear" w:color="auto" w:fill="FFFFFF"/>
        </w:rPr>
        <w:t>deinstitutionaliz</w:t>
      </w:r>
      <w:r w:rsidR="00B97111" w:rsidRPr="008931E4">
        <w:rPr>
          <w:b/>
          <w:bCs/>
          <w:shd w:val="clear" w:color="auto" w:fill="FFFFFF"/>
        </w:rPr>
        <w:t>ation for</w:t>
      </w:r>
      <w:r w:rsidR="009B79F6" w:rsidRPr="008931E4">
        <w:rPr>
          <w:b/>
          <w:bCs/>
          <w:shd w:val="clear" w:color="auto" w:fill="FFFFFF"/>
        </w:rPr>
        <w:t xml:space="preserve"> persons with disabilities in times of emergency and to provide them with appropriate support to live in the </w:t>
      </w:r>
      <w:proofErr w:type="gramStart"/>
      <w:r w:rsidR="009B79F6" w:rsidRPr="008931E4">
        <w:rPr>
          <w:b/>
          <w:bCs/>
          <w:shd w:val="clear" w:color="auto" w:fill="FFFFFF"/>
        </w:rPr>
        <w:t>community</w:t>
      </w:r>
      <w:r w:rsidR="00AE3112" w:rsidRPr="008931E4">
        <w:rPr>
          <w:b/>
          <w:bCs/>
          <w:shd w:val="clear" w:color="auto" w:fill="FFFFFF"/>
        </w:rPr>
        <w:t>;</w:t>
      </w:r>
      <w:proofErr w:type="gramEnd"/>
    </w:p>
    <w:p w14:paraId="28ADA7FB" w14:textId="3CCAB8AC" w:rsidR="00350FB4" w:rsidRPr="00502ECB" w:rsidRDefault="00354503" w:rsidP="00AE3112">
      <w:pPr>
        <w:pStyle w:val="SingleTxtG"/>
        <w:ind w:firstLine="567"/>
        <w:rPr>
          <w:b/>
          <w:bCs/>
        </w:rPr>
      </w:pPr>
      <w:r w:rsidRPr="008931E4">
        <w:rPr>
          <w:b/>
        </w:rPr>
        <w:t>(</w:t>
      </w:r>
      <w:r w:rsidR="00A8479E" w:rsidRPr="008931E4">
        <w:rPr>
          <w:b/>
        </w:rPr>
        <w:t>d</w:t>
      </w:r>
      <w:r w:rsidRPr="008931E4">
        <w:rPr>
          <w:b/>
        </w:rPr>
        <w:t>)</w:t>
      </w:r>
      <w:r w:rsidRPr="008931E4">
        <w:rPr>
          <w:b/>
        </w:rPr>
        <w:tab/>
      </w:r>
      <w:r w:rsidR="00A8479E" w:rsidRPr="00502ECB">
        <w:rPr>
          <w:b/>
          <w:bCs/>
        </w:rPr>
        <w:t>Take measures, in cooperation with humanitarian actors</w:t>
      </w:r>
      <w:r w:rsidR="005C5AA7" w:rsidRPr="00502ECB">
        <w:rPr>
          <w:b/>
          <w:bCs/>
        </w:rPr>
        <w:t xml:space="preserve"> and ensuring participations of organizations of persons with disabilities, </w:t>
      </w:r>
      <w:r w:rsidR="00A8479E" w:rsidRPr="00502ECB">
        <w:rPr>
          <w:b/>
          <w:bCs/>
        </w:rPr>
        <w:t xml:space="preserve">to ensure access by persons </w:t>
      </w:r>
      <w:r w:rsidR="00AE3112" w:rsidRPr="00502ECB">
        <w:rPr>
          <w:b/>
          <w:bCs/>
        </w:rPr>
        <w:t>with disabilities in the regions of Abkhazia, Georgia</w:t>
      </w:r>
      <w:r w:rsidR="0065628D" w:rsidRPr="00502ECB">
        <w:rPr>
          <w:b/>
          <w:bCs/>
        </w:rPr>
        <w:t>,</w:t>
      </w:r>
      <w:r w:rsidR="00AE3112" w:rsidRPr="00502ECB">
        <w:rPr>
          <w:b/>
          <w:bCs/>
        </w:rPr>
        <w:t xml:space="preserve"> and Tskhinvali Region/South Ossetia</w:t>
      </w:r>
      <w:r w:rsidR="0065628D" w:rsidRPr="00502ECB">
        <w:rPr>
          <w:b/>
          <w:bCs/>
        </w:rPr>
        <w:t>, Georgia,</w:t>
      </w:r>
      <w:r w:rsidR="00AE3112" w:rsidRPr="00502ECB">
        <w:rPr>
          <w:b/>
          <w:bCs/>
        </w:rPr>
        <w:t xml:space="preserve"> to humanitarian aid, evacuation programmes and </w:t>
      </w:r>
      <w:r w:rsidR="0065628D" w:rsidRPr="00502ECB">
        <w:rPr>
          <w:b/>
          <w:bCs/>
        </w:rPr>
        <w:t>to</w:t>
      </w:r>
      <w:r w:rsidR="00AE3112" w:rsidRPr="00502ECB">
        <w:rPr>
          <w:b/>
          <w:bCs/>
        </w:rPr>
        <w:t xml:space="preserve"> community-based services.</w:t>
      </w:r>
      <w:r w:rsidR="005C5AA7" w:rsidRPr="00502ECB">
        <w:t xml:space="preserve"> </w:t>
      </w:r>
    </w:p>
    <w:p w14:paraId="104DABF3" w14:textId="071C1452" w:rsidR="00C611DF" w:rsidRPr="00502ECB" w:rsidRDefault="00C611DF" w:rsidP="00C611DF">
      <w:pPr>
        <w:pStyle w:val="H23G"/>
        <w:outlineLvl w:val="2"/>
      </w:pPr>
      <w:r w:rsidRPr="00502ECB">
        <w:tab/>
      </w:r>
      <w:r w:rsidRPr="00502ECB">
        <w:tab/>
        <w:t>Equal recognition before the law (art. 12)</w:t>
      </w:r>
    </w:p>
    <w:p w14:paraId="6FB63DFB" w14:textId="1BB95FE8" w:rsidR="00993449" w:rsidRPr="00502ECB" w:rsidRDefault="00C611DF" w:rsidP="00122B80">
      <w:pPr>
        <w:pStyle w:val="SingleTxtG"/>
      </w:pPr>
      <w:r w:rsidRPr="00502ECB">
        <w:t>25.</w:t>
      </w:r>
      <w:r w:rsidRPr="00502ECB">
        <w:tab/>
        <w:t>The Committee is concerned about:</w:t>
      </w:r>
    </w:p>
    <w:p w14:paraId="29A7F86A" w14:textId="7210E33D" w:rsidR="009275BB" w:rsidRPr="00502ECB" w:rsidRDefault="00122B80" w:rsidP="00122B80">
      <w:pPr>
        <w:pStyle w:val="SingleTxtG"/>
        <w:ind w:firstLine="567"/>
        <w:rPr>
          <w:szCs w:val="24"/>
        </w:rPr>
      </w:pPr>
      <w:r w:rsidRPr="00502ECB">
        <w:rPr>
          <w:szCs w:val="24"/>
        </w:rPr>
        <w:t>(a)</w:t>
      </w:r>
      <w:r w:rsidRPr="00502ECB">
        <w:rPr>
          <w:szCs w:val="24"/>
        </w:rPr>
        <w:tab/>
      </w:r>
      <w:r w:rsidR="009275BB" w:rsidRPr="00502ECB">
        <w:rPr>
          <w:szCs w:val="24"/>
        </w:rPr>
        <w:t xml:space="preserve">Legislation and practices that continue to </w:t>
      </w:r>
      <w:r w:rsidR="00993449" w:rsidRPr="00502ECB">
        <w:rPr>
          <w:szCs w:val="24"/>
        </w:rPr>
        <w:t>den</w:t>
      </w:r>
      <w:r w:rsidR="009275BB" w:rsidRPr="00502ECB">
        <w:rPr>
          <w:szCs w:val="24"/>
        </w:rPr>
        <w:t xml:space="preserve">y </w:t>
      </w:r>
      <w:r w:rsidR="00993449" w:rsidRPr="00502ECB">
        <w:rPr>
          <w:szCs w:val="24"/>
        </w:rPr>
        <w:t>legal capacity</w:t>
      </w:r>
      <w:r w:rsidR="00991629" w:rsidRPr="00502ECB">
        <w:rPr>
          <w:szCs w:val="24"/>
        </w:rPr>
        <w:t xml:space="preserve"> </w:t>
      </w:r>
      <w:r w:rsidR="00993449" w:rsidRPr="00502ECB">
        <w:rPr>
          <w:szCs w:val="24"/>
        </w:rPr>
        <w:t xml:space="preserve">to persons </w:t>
      </w:r>
      <w:r w:rsidR="009275BB" w:rsidRPr="00502ECB">
        <w:rPr>
          <w:szCs w:val="24"/>
        </w:rPr>
        <w:t>with</w:t>
      </w:r>
      <w:r w:rsidR="00325928">
        <w:rPr>
          <w:szCs w:val="24"/>
        </w:rPr>
        <w:t xml:space="preserve"> intellectual disabilities and persons with</w:t>
      </w:r>
      <w:r w:rsidR="009275BB" w:rsidRPr="00502ECB">
        <w:rPr>
          <w:szCs w:val="24"/>
        </w:rPr>
        <w:t xml:space="preserve"> psychosocial disabilities </w:t>
      </w:r>
      <w:r w:rsidR="00A7293D" w:rsidRPr="00502ECB">
        <w:rPr>
          <w:szCs w:val="24"/>
        </w:rPr>
        <w:t>who are</w:t>
      </w:r>
      <w:r w:rsidR="00A27BCB" w:rsidRPr="00502ECB">
        <w:rPr>
          <w:szCs w:val="24"/>
        </w:rPr>
        <w:t xml:space="preserve"> </w:t>
      </w:r>
      <w:r w:rsidR="000652B0" w:rsidRPr="00502ECB">
        <w:rPr>
          <w:szCs w:val="24"/>
        </w:rPr>
        <w:t>considered to have “</w:t>
      </w:r>
      <w:r w:rsidR="000652B0" w:rsidRPr="00502ECB">
        <w:rPr>
          <w:szCs w:val="24"/>
          <w:lang w:val="en-US"/>
        </w:rPr>
        <w:t>antisocial personality disorder”, coma</w:t>
      </w:r>
      <w:r w:rsidR="009275BB" w:rsidRPr="00502ECB">
        <w:rPr>
          <w:szCs w:val="24"/>
          <w:lang w:val="en-US"/>
        </w:rPr>
        <w:t xml:space="preserve"> patients</w:t>
      </w:r>
      <w:r w:rsidR="000652B0" w:rsidRPr="00502ECB">
        <w:rPr>
          <w:szCs w:val="24"/>
          <w:lang w:val="en-US"/>
        </w:rPr>
        <w:t xml:space="preserve">, </w:t>
      </w:r>
      <w:r w:rsidR="009275BB" w:rsidRPr="00502ECB">
        <w:rPr>
          <w:szCs w:val="24"/>
          <w:lang w:val="en-US"/>
        </w:rPr>
        <w:t>and persons with</w:t>
      </w:r>
      <w:r w:rsidR="000652B0" w:rsidRPr="00502ECB">
        <w:rPr>
          <w:szCs w:val="24"/>
          <w:lang w:val="en-US"/>
        </w:rPr>
        <w:t xml:space="preserve"> advanced Alzheimer's</w:t>
      </w:r>
      <w:r w:rsidR="009275BB" w:rsidRPr="00502ECB">
        <w:rPr>
          <w:szCs w:val="24"/>
          <w:lang w:val="en-US"/>
        </w:rPr>
        <w:t>,</w:t>
      </w:r>
      <w:r w:rsidR="000652B0" w:rsidRPr="00502ECB">
        <w:rPr>
          <w:szCs w:val="24"/>
        </w:rPr>
        <w:t xml:space="preserve"> </w:t>
      </w:r>
      <w:r w:rsidR="00C03791" w:rsidRPr="00502ECB">
        <w:rPr>
          <w:szCs w:val="24"/>
        </w:rPr>
        <w:t>and</w:t>
      </w:r>
      <w:r w:rsidR="009275BB" w:rsidRPr="00502ECB">
        <w:rPr>
          <w:szCs w:val="24"/>
        </w:rPr>
        <w:t xml:space="preserve"> legislation limiting the exercise of legal capacity of persons with disabilities, including in the area of family life</w:t>
      </w:r>
      <w:r w:rsidR="00030C34" w:rsidRPr="00502ECB">
        <w:rPr>
          <w:szCs w:val="24"/>
        </w:rPr>
        <w:t>, parental rights</w:t>
      </w:r>
      <w:r w:rsidR="009275BB" w:rsidRPr="00502ECB">
        <w:rPr>
          <w:szCs w:val="24"/>
        </w:rPr>
        <w:t xml:space="preserve">, the right to work, and the right to participate in political and public </w:t>
      </w:r>
      <w:proofErr w:type="gramStart"/>
      <w:r w:rsidR="009275BB" w:rsidRPr="00502ECB">
        <w:rPr>
          <w:szCs w:val="24"/>
        </w:rPr>
        <w:t>life</w:t>
      </w:r>
      <w:r w:rsidR="00A7293D" w:rsidRPr="00502ECB">
        <w:rPr>
          <w:szCs w:val="24"/>
        </w:rPr>
        <w:t>;</w:t>
      </w:r>
      <w:proofErr w:type="gramEnd"/>
      <w:r w:rsidR="009275BB" w:rsidRPr="00502ECB">
        <w:rPr>
          <w:szCs w:val="24"/>
        </w:rPr>
        <w:t xml:space="preserve"> </w:t>
      </w:r>
    </w:p>
    <w:p w14:paraId="4205CBA5" w14:textId="423D75DE" w:rsidR="00993449" w:rsidRPr="00502ECB" w:rsidRDefault="008931E4" w:rsidP="00122B80">
      <w:pPr>
        <w:pStyle w:val="SingleTxtG"/>
        <w:ind w:firstLine="567"/>
        <w:rPr>
          <w:szCs w:val="24"/>
        </w:rPr>
      </w:pPr>
      <w:r>
        <w:rPr>
          <w:szCs w:val="24"/>
        </w:rPr>
        <w:t>(b)</w:t>
      </w:r>
      <w:r w:rsidR="009275BB" w:rsidRPr="00502ECB">
        <w:rPr>
          <w:szCs w:val="24"/>
        </w:rPr>
        <w:tab/>
      </w:r>
      <w:r w:rsidR="00A7293D" w:rsidRPr="00502ECB">
        <w:rPr>
          <w:szCs w:val="24"/>
        </w:rPr>
        <w:t>Insufficient</w:t>
      </w:r>
      <w:r w:rsidR="009275BB" w:rsidRPr="00502ECB">
        <w:rPr>
          <w:szCs w:val="24"/>
        </w:rPr>
        <w:t xml:space="preserve"> progress</w:t>
      </w:r>
      <w:r w:rsidR="00F00B7E" w:rsidRPr="00502ECB">
        <w:rPr>
          <w:szCs w:val="24"/>
        </w:rPr>
        <w:t xml:space="preserve"> in </w:t>
      </w:r>
      <w:r w:rsidR="00A7293D" w:rsidRPr="00502ECB">
        <w:rPr>
          <w:szCs w:val="24"/>
        </w:rPr>
        <w:t>ensuring</w:t>
      </w:r>
      <w:r w:rsidR="00870B15" w:rsidRPr="00502ECB">
        <w:rPr>
          <w:szCs w:val="24"/>
        </w:rPr>
        <w:t xml:space="preserve"> that </w:t>
      </w:r>
      <w:r w:rsidR="009275BB" w:rsidRPr="00502ECB">
        <w:rPr>
          <w:szCs w:val="24"/>
        </w:rPr>
        <w:t>persons with intellectual disabilities and persons with psychosocial disabilities living in institutions</w:t>
      </w:r>
      <w:r w:rsidR="00870B15" w:rsidRPr="00502ECB">
        <w:rPr>
          <w:szCs w:val="24"/>
        </w:rPr>
        <w:t xml:space="preserve"> regain their </w:t>
      </w:r>
      <w:r w:rsidR="009275BB" w:rsidRPr="00502ECB">
        <w:rPr>
          <w:szCs w:val="24"/>
        </w:rPr>
        <w:t xml:space="preserve">legal </w:t>
      </w:r>
      <w:proofErr w:type="gramStart"/>
      <w:r w:rsidR="009275BB" w:rsidRPr="00502ECB">
        <w:rPr>
          <w:szCs w:val="24"/>
        </w:rPr>
        <w:t>capacity</w:t>
      </w:r>
      <w:r w:rsidR="00C03791" w:rsidRPr="00502ECB">
        <w:rPr>
          <w:szCs w:val="24"/>
        </w:rPr>
        <w:t>;</w:t>
      </w:r>
      <w:proofErr w:type="gramEnd"/>
      <w:r w:rsidR="00993449" w:rsidRPr="00502ECB">
        <w:rPr>
          <w:szCs w:val="24"/>
        </w:rPr>
        <w:t xml:space="preserve"> </w:t>
      </w:r>
    </w:p>
    <w:p w14:paraId="4DAC8EA6" w14:textId="5B40D8CE" w:rsidR="00C03791" w:rsidRPr="00502ECB" w:rsidRDefault="00122B80" w:rsidP="00122B80">
      <w:pPr>
        <w:pStyle w:val="SingleTxtG"/>
        <w:ind w:firstLine="567"/>
        <w:rPr>
          <w:szCs w:val="24"/>
        </w:rPr>
      </w:pPr>
      <w:r w:rsidRPr="00502ECB">
        <w:rPr>
          <w:szCs w:val="24"/>
        </w:rPr>
        <w:t>(</w:t>
      </w:r>
      <w:r w:rsidR="00870B15" w:rsidRPr="00502ECB">
        <w:rPr>
          <w:szCs w:val="24"/>
        </w:rPr>
        <w:t>c</w:t>
      </w:r>
      <w:r w:rsidRPr="00502ECB">
        <w:rPr>
          <w:szCs w:val="24"/>
        </w:rPr>
        <w:t>)</w:t>
      </w:r>
      <w:r w:rsidRPr="00502ECB">
        <w:rPr>
          <w:szCs w:val="24"/>
        </w:rPr>
        <w:tab/>
      </w:r>
      <w:r w:rsidR="00991629" w:rsidRPr="00502ECB">
        <w:rPr>
          <w:szCs w:val="24"/>
        </w:rPr>
        <w:t xml:space="preserve">The fact that appointment of support personnel still </w:t>
      </w:r>
      <w:r w:rsidR="00537488" w:rsidRPr="00502ECB">
        <w:rPr>
          <w:szCs w:val="24"/>
        </w:rPr>
        <w:t>relies</w:t>
      </w:r>
      <w:r w:rsidR="00A7293D" w:rsidRPr="00502ECB">
        <w:rPr>
          <w:szCs w:val="24"/>
        </w:rPr>
        <w:t xml:space="preserve"> solely</w:t>
      </w:r>
      <w:r w:rsidR="00537488" w:rsidRPr="00502ECB">
        <w:rPr>
          <w:szCs w:val="24"/>
        </w:rPr>
        <w:t xml:space="preserve"> </w:t>
      </w:r>
      <w:r w:rsidR="00991629" w:rsidRPr="00502ECB">
        <w:rPr>
          <w:szCs w:val="24"/>
        </w:rPr>
        <w:t xml:space="preserve">on the medical assessment and evidence provided by the Forensic Bureau, the </w:t>
      </w:r>
      <w:r w:rsidR="00C03791" w:rsidRPr="00502ECB">
        <w:rPr>
          <w:szCs w:val="24"/>
        </w:rPr>
        <w:t>delay in implementing</w:t>
      </w:r>
      <w:r w:rsidR="00991629" w:rsidRPr="00502ECB">
        <w:rPr>
          <w:szCs w:val="24"/>
        </w:rPr>
        <w:t xml:space="preserve"> a range of </w:t>
      </w:r>
      <w:r w:rsidR="00C03791" w:rsidRPr="00502ECB">
        <w:rPr>
          <w:szCs w:val="24"/>
        </w:rPr>
        <w:t>supported-decision</w:t>
      </w:r>
      <w:r w:rsidR="00537488" w:rsidRPr="00502ECB">
        <w:rPr>
          <w:szCs w:val="24"/>
        </w:rPr>
        <w:t xml:space="preserve"> </w:t>
      </w:r>
      <w:r w:rsidR="00C03791" w:rsidRPr="00502ECB">
        <w:rPr>
          <w:szCs w:val="24"/>
        </w:rPr>
        <w:t>mechanisms</w:t>
      </w:r>
      <w:r w:rsidR="00991629" w:rsidRPr="00502ECB">
        <w:rPr>
          <w:szCs w:val="24"/>
        </w:rPr>
        <w:t xml:space="preserve">, </w:t>
      </w:r>
      <w:r w:rsidR="00C03791" w:rsidRPr="00502ECB">
        <w:rPr>
          <w:szCs w:val="24"/>
        </w:rPr>
        <w:t xml:space="preserve">and the </w:t>
      </w:r>
      <w:r w:rsidR="00991629" w:rsidRPr="00502ECB">
        <w:rPr>
          <w:szCs w:val="24"/>
        </w:rPr>
        <w:t>limited awareness in</w:t>
      </w:r>
      <w:r w:rsidR="00A7293D" w:rsidRPr="00502ECB">
        <w:rPr>
          <w:szCs w:val="24"/>
        </w:rPr>
        <w:t xml:space="preserve"> government and</w:t>
      </w:r>
      <w:r w:rsidR="00991629" w:rsidRPr="00502ECB">
        <w:rPr>
          <w:szCs w:val="24"/>
        </w:rPr>
        <w:t xml:space="preserve"> society </w:t>
      </w:r>
      <w:r w:rsidR="00C03791" w:rsidRPr="00502ECB">
        <w:rPr>
          <w:szCs w:val="24"/>
        </w:rPr>
        <w:t xml:space="preserve">about </w:t>
      </w:r>
      <w:r w:rsidR="007D6220" w:rsidRPr="00502ECB">
        <w:rPr>
          <w:szCs w:val="24"/>
        </w:rPr>
        <w:t xml:space="preserve">the </w:t>
      </w:r>
      <w:r w:rsidR="00537488" w:rsidRPr="00502ECB">
        <w:rPr>
          <w:szCs w:val="24"/>
        </w:rPr>
        <w:t xml:space="preserve">right of persons with disabilities to equal recognition before the law and </w:t>
      </w:r>
      <w:r w:rsidR="00C03791" w:rsidRPr="00502ECB">
        <w:rPr>
          <w:szCs w:val="24"/>
        </w:rPr>
        <w:t xml:space="preserve">supported </w:t>
      </w:r>
      <w:proofErr w:type="gramStart"/>
      <w:r w:rsidR="00C03791" w:rsidRPr="00502ECB">
        <w:rPr>
          <w:szCs w:val="24"/>
        </w:rPr>
        <w:t>decision-making</w:t>
      </w:r>
      <w:r w:rsidR="00991629" w:rsidRPr="00502ECB">
        <w:rPr>
          <w:szCs w:val="24"/>
        </w:rPr>
        <w:t>;</w:t>
      </w:r>
      <w:proofErr w:type="gramEnd"/>
      <w:r w:rsidR="00991629" w:rsidRPr="00502ECB">
        <w:rPr>
          <w:szCs w:val="24"/>
        </w:rPr>
        <w:t xml:space="preserve"> </w:t>
      </w:r>
    </w:p>
    <w:p w14:paraId="7B5DDCB5" w14:textId="7F5F9D5E" w:rsidR="006E027D" w:rsidRPr="00502ECB" w:rsidRDefault="00122B80" w:rsidP="00122B80">
      <w:pPr>
        <w:pStyle w:val="SingleTxtG"/>
        <w:ind w:firstLine="567"/>
        <w:rPr>
          <w:szCs w:val="24"/>
        </w:rPr>
      </w:pPr>
      <w:r w:rsidRPr="00502ECB">
        <w:rPr>
          <w:szCs w:val="24"/>
        </w:rPr>
        <w:lastRenderedPageBreak/>
        <w:t>(</w:t>
      </w:r>
      <w:r w:rsidR="00870B15" w:rsidRPr="00502ECB">
        <w:rPr>
          <w:szCs w:val="24"/>
        </w:rPr>
        <w:t>d</w:t>
      </w:r>
      <w:r w:rsidRPr="00502ECB">
        <w:rPr>
          <w:szCs w:val="24"/>
        </w:rPr>
        <w:t>)</w:t>
      </w:r>
      <w:r w:rsidRPr="00502ECB">
        <w:rPr>
          <w:szCs w:val="24"/>
        </w:rPr>
        <w:tab/>
      </w:r>
      <w:r w:rsidR="00993449" w:rsidRPr="00502ECB">
        <w:rPr>
          <w:szCs w:val="24"/>
        </w:rPr>
        <w:t xml:space="preserve">The </w:t>
      </w:r>
      <w:r w:rsidR="00497C47" w:rsidRPr="00502ECB">
        <w:rPr>
          <w:szCs w:val="24"/>
        </w:rPr>
        <w:t>limited scope</w:t>
      </w:r>
      <w:r w:rsidR="00993449" w:rsidRPr="00502ECB">
        <w:rPr>
          <w:szCs w:val="24"/>
        </w:rPr>
        <w:t xml:space="preserve"> of mechanisms to address c</w:t>
      </w:r>
      <w:r w:rsidR="006E027D" w:rsidRPr="00502ECB">
        <w:rPr>
          <w:szCs w:val="24"/>
        </w:rPr>
        <w:t>onflict</w:t>
      </w:r>
      <w:r w:rsidR="00993449" w:rsidRPr="00502ECB">
        <w:rPr>
          <w:szCs w:val="24"/>
        </w:rPr>
        <w:t>s</w:t>
      </w:r>
      <w:r w:rsidR="006E027D" w:rsidRPr="00502ECB">
        <w:rPr>
          <w:szCs w:val="24"/>
        </w:rPr>
        <w:t xml:space="preserve"> of interest between</w:t>
      </w:r>
      <w:r w:rsidR="00993449" w:rsidRPr="00502ECB">
        <w:rPr>
          <w:szCs w:val="24"/>
        </w:rPr>
        <w:t xml:space="preserve"> persons with disabilities</w:t>
      </w:r>
      <w:r w:rsidR="00A7293D" w:rsidRPr="00502ECB">
        <w:rPr>
          <w:szCs w:val="24"/>
        </w:rPr>
        <w:t xml:space="preserve"> on the one </w:t>
      </w:r>
      <w:r w:rsidR="00A27BCB" w:rsidRPr="00502ECB">
        <w:rPr>
          <w:szCs w:val="24"/>
        </w:rPr>
        <w:t>side</w:t>
      </w:r>
      <w:r w:rsidR="00993449" w:rsidRPr="00502ECB">
        <w:rPr>
          <w:szCs w:val="24"/>
        </w:rPr>
        <w:t xml:space="preserve"> and</w:t>
      </w:r>
      <w:r w:rsidR="006E027D" w:rsidRPr="00502ECB">
        <w:rPr>
          <w:szCs w:val="24"/>
        </w:rPr>
        <w:t xml:space="preserve"> social workers and family members appointed as support persons</w:t>
      </w:r>
      <w:r w:rsidR="00A7293D" w:rsidRPr="00502ECB">
        <w:rPr>
          <w:szCs w:val="24"/>
        </w:rPr>
        <w:t xml:space="preserve"> on the other </w:t>
      </w:r>
      <w:r w:rsidR="00A27BCB" w:rsidRPr="00502ECB">
        <w:rPr>
          <w:szCs w:val="24"/>
        </w:rPr>
        <w:t>side</w:t>
      </w:r>
      <w:r w:rsidR="00A7293D" w:rsidRPr="00502ECB">
        <w:rPr>
          <w:szCs w:val="24"/>
        </w:rPr>
        <w:t>.</w:t>
      </w:r>
    </w:p>
    <w:p w14:paraId="51B6A7E5" w14:textId="22CFFC4B" w:rsidR="00122B80" w:rsidRPr="00502ECB" w:rsidRDefault="00122B80" w:rsidP="00122B80">
      <w:pPr>
        <w:pStyle w:val="SingleTxtG"/>
      </w:pPr>
      <w:r w:rsidRPr="00502ECB">
        <w:t>26.</w:t>
      </w:r>
      <w:r w:rsidRPr="00502ECB">
        <w:tab/>
      </w:r>
      <w:r w:rsidR="00991629" w:rsidRPr="00502ECB">
        <w:rPr>
          <w:b/>
          <w:bCs/>
        </w:rPr>
        <w:t>The Committee,</w:t>
      </w:r>
      <w:r w:rsidR="00991629" w:rsidRPr="00502ECB">
        <w:t xml:space="preserve"> </w:t>
      </w:r>
      <w:r w:rsidR="00991629" w:rsidRPr="00502ECB">
        <w:rPr>
          <w:b/>
        </w:rPr>
        <w:t>r</w:t>
      </w:r>
      <w:r w:rsidRPr="00502ECB">
        <w:rPr>
          <w:b/>
        </w:rPr>
        <w:t xml:space="preserve">ecalling its general comment No. 1 (2014) on equal recognition before the law, </w:t>
      </w:r>
      <w:r w:rsidR="00AA4350" w:rsidRPr="00502ECB">
        <w:rPr>
          <w:b/>
        </w:rPr>
        <w:t>and with reference to the assessment of the legal capacity reform conducted by the Public Defender of Georgia, in 2022, recommends that</w:t>
      </w:r>
      <w:r w:rsidRPr="00502ECB">
        <w:rPr>
          <w:b/>
        </w:rPr>
        <w:t xml:space="preserve"> the State party:</w:t>
      </w:r>
    </w:p>
    <w:p w14:paraId="155DFCC4" w14:textId="3401832D" w:rsidR="00122B80" w:rsidRPr="008931E4" w:rsidRDefault="00122B80" w:rsidP="00122B80">
      <w:pPr>
        <w:pStyle w:val="SingleTxtG"/>
        <w:ind w:firstLine="567"/>
        <w:rPr>
          <w:b/>
          <w:bCs/>
        </w:rPr>
      </w:pPr>
      <w:r w:rsidRPr="008931E4">
        <w:rPr>
          <w:b/>
          <w:bCs/>
        </w:rPr>
        <w:tab/>
      </w:r>
      <w:r w:rsidRPr="008931E4">
        <w:rPr>
          <w:b/>
        </w:rPr>
        <w:t>(a)</w:t>
      </w:r>
      <w:r w:rsidRPr="008931E4">
        <w:rPr>
          <w:b/>
          <w:bCs/>
        </w:rPr>
        <w:tab/>
      </w:r>
      <w:r w:rsidR="00A7293D" w:rsidRPr="008931E4">
        <w:rPr>
          <w:b/>
          <w:bCs/>
        </w:rPr>
        <w:t>R</w:t>
      </w:r>
      <w:r w:rsidR="00C75D18" w:rsidRPr="008931E4">
        <w:rPr>
          <w:b/>
          <w:bCs/>
        </w:rPr>
        <w:t>epeal</w:t>
      </w:r>
      <w:r w:rsidR="00A7293D" w:rsidRPr="008931E4">
        <w:rPr>
          <w:b/>
          <w:bCs/>
        </w:rPr>
        <w:t xml:space="preserve"> all provisions allowing</w:t>
      </w:r>
      <w:r w:rsidR="00C75D18" w:rsidRPr="008931E4">
        <w:rPr>
          <w:b/>
          <w:bCs/>
        </w:rPr>
        <w:t xml:space="preserve"> substitute decision-making</w:t>
      </w:r>
      <w:r w:rsidR="00A7293D" w:rsidRPr="008931E4">
        <w:rPr>
          <w:b/>
          <w:bCs/>
        </w:rPr>
        <w:t xml:space="preserve"> in any situation,</w:t>
      </w:r>
      <w:r w:rsidR="001D7369" w:rsidRPr="008931E4">
        <w:rPr>
          <w:b/>
          <w:bCs/>
        </w:rPr>
        <w:t xml:space="preserve"> and end situations of de facto guardianship as, inter alia, with respect to many persons with disabilities classified as “support recipients</w:t>
      </w:r>
      <w:proofErr w:type="gramStart"/>
      <w:r w:rsidR="001D7369" w:rsidRPr="008931E4">
        <w:rPr>
          <w:b/>
          <w:bCs/>
        </w:rPr>
        <w:t>”</w:t>
      </w:r>
      <w:r w:rsidR="002D30A0" w:rsidRPr="008931E4">
        <w:rPr>
          <w:b/>
          <w:bCs/>
        </w:rPr>
        <w:t>;</w:t>
      </w:r>
      <w:proofErr w:type="gramEnd"/>
      <w:r w:rsidR="00C75D18" w:rsidRPr="008931E4">
        <w:rPr>
          <w:b/>
          <w:bCs/>
        </w:rPr>
        <w:t xml:space="preserve"> </w:t>
      </w:r>
    </w:p>
    <w:p w14:paraId="3F19C2BD" w14:textId="60E3426A" w:rsidR="00122B80" w:rsidRPr="008931E4" w:rsidRDefault="00C75D18" w:rsidP="00122B80">
      <w:pPr>
        <w:pStyle w:val="SingleTxtG"/>
        <w:ind w:firstLine="567"/>
        <w:rPr>
          <w:b/>
        </w:rPr>
      </w:pPr>
      <w:r w:rsidRPr="008931E4">
        <w:rPr>
          <w:b/>
        </w:rPr>
        <w:t>(</w:t>
      </w:r>
      <w:r w:rsidR="00A7293D" w:rsidRPr="008931E4">
        <w:rPr>
          <w:b/>
        </w:rPr>
        <w:t>b</w:t>
      </w:r>
      <w:r w:rsidRPr="008931E4">
        <w:rPr>
          <w:b/>
        </w:rPr>
        <w:t>)</w:t>
      </w:r>
      <w:r w:rsidRPr="008931E4">
        <w:rPr>
          <w:b/>
        </w:rPr>
        <w:tab/>
      </w:r>
      <w:r w:rsidR="009E7F63" w:rsidRPr="008931E4">
        <w:rPr>
          <w:b/>
          <w:bCs/>
        </w:rPr>
        <w:t xml:space="preserve">Ensure that supported decision-making is provided </w:t>
      </w:r>
      <w:proofErr w:type="gramStart"/>
      <w:r w:rsidR="009E7F63" w:rsidRPr="008931E4">
        <w:rPr>
          <w:b/>
          <w:bCs/>
        </w:rPr>
        <w:t>on the basis of</w:t>
      </w:r>
      <w:proofErr w:type="gramEnd"/>
      <w:r w:rsidR="009E7F63" w:rsidRPr="008931E4">
        <w:rPr>
          <w:b/>
          <w:bCs/>
        </w:rPr>
        <w:t xml:space="preserve"> </w:t>
      </w:r>
      <w:r w:rsidR="00A7293D" w:rsidRPr="008931E4">
        <w:rPr>
          <w:b/>
          <w:bCs/>
        </w:rPr>
        <w:t xml:space="preserve">the </w:t>
      </w:r>
      <w:r w:rsidR="009E7F63" w:rsidRPr="008931E4">
        <w:rPr>
          <w:b/>
          <w:bCs/>
        </w:rPr>
        <w:t xml:space="preserve">will and preferences of the person concerned, that persons with disabilities have the right to </w:t>
      </w:r>
      <w:r w:rsidR="00A7293D" w:rsidRPr="008931E4">
        <w:rPr>
          <w:b/>
          <w:bCs/>
        </w:rPr>
        <w:t xml:space="preserve">accept or </w:t>
      </w:r>
      <w:r w:rsidR="00F95F35" w:rsidRPr="008931E4">
        <w:rPr>
          <w:b/>
          <w:bCs/>
        </w:rPr>
        <w:t xml:space="preserve">refuse </w:t>
      </w:r>
      <w:r w:rsidR="009E7F63" w:rsidRPr="008931E4">
        <w:rPr>
          <w:b/>
          <w:bCs/>
        </w:rPr>
        <w:t>support and participate</w:t>
      </w:r>
      <w:r w:rsidR="00A7293D" w:rsidRPr="008931E4">
        <w:rPr>
          <w:b/>
          <w:bCs/>
        </w:rPr>
        <w:t xml:space="preserve"> themselves</w:t>
      </w:r>
      <w:r w:rsidR="009E7F63" w:rsidRPr="008931E4">
        <w:rPr>
          <w:b/>
          <w:bCs/>
        </w:rPr>
        <w:t xml:space="preserve"> with appropriate information in </w:t>
      </w:r>
      <w:r w:rsidR="002B0F38" w:rsidRPr="008931E4">
        <w:rPr>
          <w:b/>
          <w:bCs/>
        </w:rPr>
        <w:t xml:space="preserve">accessible formats, in all </w:t>
      </w:r>
      <w:r w:rsidR="009E7F63" w:rsidRPr="008931E4">
        <w:rPr>
          <w:b/>
          <w:bCs/>
        </w:rPr>
        <w:t xml:space="preserve">procedures concerning </w:t>
      </w:r>
      <w:r w:rsidR="00A7293D" w:rsidRPr="008931E4">
        <w:rPr>
          <w:b/>
          <w:bCs/>
        </w:rPr>
        <w:t xml:space="preserve">the appointment </w:t>
      </w:r>
      <w:r w:rsidR="009E7F63" w:rsidRPr="008931E4">
        <w:rPr>
          <w:b/>
          <w:bCs/>
        </w:rPr>
        <w:t>of support persons.</w:t>
      </w:r>
      <w:r w:rsidR="002B0F38" w:rsidRPr="008931E4">
        <w:rPr>
          <w:b/>
          <w:bCs/>
        </w:rPr>
        <w:t xml:space="preserve"> </w:t>
      </w:r>
      <w:r w:rsidR="009E7F63" w:rsidRPr="008931E4">
        <w:rPr>
          <w:b/>
          <w:bCs/>
        </w:rPr>
        <w:t xml:space="preserve">The State party </w:t>
      </w:r>
      <w:r w:rsidR="00A7293D" w:rsidRPr="008931E4">
        <w:rPr>
          <w:b/>
          <w:bCs/>
        </w:rPr>
        <w:t xml:space="preserve">is recommended to </w:t>
      </w:r>
      <w:r w:rsidR="009E7F63" w:rsidRPr="008931E4">
        <w:rPr>
          <w:b/>
          <w:bCs/>
        </w:rPr>
        <w:t xml:space="preserve">introduce a range of supported decision-making </w:t>
      </w:r>
      <w:r w:rsidR="00F95F35" w:rsidRPr="008931E4">
        <w:rPr>
          <w:b/>
          <w:bCs/>
        </w:rPr>
        <w:t>alternatives</w:t>
      </w:r>
      <w:r w:rsidR="00A7293D" w:rsidRPr="008931E4">
        <w:rPr>
          <w:b/>
          <w:bCs/>
        </w:rPr>
        <w:t xml:space="preserve"> tailored to </w:t>
      </w:r>
      <w:r w:rsidR="001D7369" w:rsidRPr="008931E4">
        <w:rPr>
          <w:b/>
          <w:bCs/>
        </w:rPr>
        <w:t xml:space="preserve">any type of </w:t>
      </w:r>
      <w:proofErr w:type="gramStart"/>
      <w:r w:rsidR="001D7369" w:rsidRPr="008931E4">
        <w:rPr>
          <w:b/>
          <w:bCs/>
        </w:rPr>
        <w:t>impairment;</w:t>
      </w:r>
      <w:proofErr w:type="gramEnd"/>
      <w:r w:rsidR="009E7F63" w:rsidRPr="008931E4">
        <w:rPr>
          <w:b/>
        </w:rPr>
        <w:t xml:space="preserve"> </w:t>
      </w:r>
    </w:p>
    <w:p w14:paraId="5A480F09" w14:textId="0977BD18" w:rsidR="009E7F63" w:rsidRPr="008931E4" w:rsidRDefault="009E7F63" w:rsidP="00122B80">
      <w:pPr>
        <w:pStyle w:val="SingleTxtG"/>
        <w:ind w:firstLine="567"/>
        <w:rPr>
          <w:b/>
        </w:rPr>
      </w:pPr>
      <w:r w:rsidRPr="008931E4">
        <w:rPr>
          <w:b/>
        </w:rPr>
        <w:t>(</w:t>
      </w:r>
      <w:r w:rsidR="001D7369" w:rsidRPr="008931E4">
        <w:rPr>
          <w:b/>
        </w:rPr>
        <w:t>c</w:t>
      </w:r>
      <w:r w:rsidRPr="008931E4">
        <w:rPr>
          <w:b/>
        </w:rPr>
        <w:t>)</w:t>
      </w:r>
      <w:r w:rsidR="00F95F35" w:rsidRPr="008931E4">
        <w:rPr>
          <w:b/>
        </w:rPr>
        <w:tab/>
      </w:r>
      <w:r w:rsidR="00F95F35" w:rsidRPr="008931E4">
        <w:rPr>
          <w:b/>
          <w:bCs/>
        </w:rPr>
        <w:t>Introduce safeguards to prevent and address conflict</w:t>
      </w:r>
      <w:r w:rsidR="001D7369" w:rsidRPr="008931E4">
        <w:rPr>
          <w:b/>
          <w:bCs/>
        </w:rPr>
        <w:t>s</w:t>
      </w:r>
      <w:r w:rsidR="00F95F35" w:rsidRPr="008931E4">
        <w:rPr>
          <w:b/>
          <w:bCs/>
        </w:rPr>
        <w:t xml:space="preserve"> of interest between persons with disabilities</w:t>
      </w:r>
      <w:r w:rsidR="001D7369" w:rsidRPr="008931E4">
        <w:rPr>
          <w:b/>
          <w:bCs/>
        </w:rPr>
        <w:t xml:space="preserve"> and support personnel</w:t>
      </w:r>
      <w:r w:rsidR="00F95F35" w:rsidRPr="008931E4">
        <w:rPr>
          <w:b/>
          <w:bCs/>
        </w:rPr>
        <w:t xml:space="preserve"> and ensure that the right of persons with disabilities to choose and access support </w:t>
      </w:r>
      <w:proofErr w:type="gramStart"/>
      <w:r w:rsidR="00F95F35" w:rsidRPr="008931E4">
        <w:rPr>
          <w:b/>
          <w:bCs/>
        </w:rPr>
        <w:t>prevails;</w:t>
      </w:r>
      <w:proofErr w:type="gramEnd"/>
      <w:r w:rsidR="00F95F35" w:rsidRPr="008931E4">
        <w:rPr>
          <w:b/>
          <w:bCs/>
        </w:rPr>
        <w:t xml:space="preserve"> </w:t>
      </w:r>
    </w:p>
    <w:p w14:paraId="2FDBE9ED" w14:textId="080568FF" w:rsidR="00A7293D" w:rsidRPr="00502ECB" w:rsidRDefault="00A7293D" w:rsidP="00122B80">
      <w:pPr>
        <w:pStyle w:val="SingleTxtG"/>
        <w:ind w:firstLine="567"/>
      </w:pPr>
      <w:r w:rsidRPr="008931E4">
        <w:rPr>
          <w:b/>
        </w:rPr>
        <w:t>(</w:t>
      </w:r>
      <w:r w:rsidR="001D7369" w:rsidRPr="008931E4">
        <w:rPr>
          <w:b/>
        </w:rPr>
        <w:t>d</w:t>
      </w:r>
      <w:r w:rsidRPr="008931E4">
        <w:rPr>
          <w:b/>
        </w:rPr>
        <w:t>)</w:t>
      </w:r>
      <w:r w:rsidRPr="008931E4">
        <w:rPr>
          <w:b/>
        </w:rPr>
        <w:tab/>
      </w:r>
      <w:r w:rsidRPr="008931E4">
        <w:rPr>
          <w:b/>
          <w:bCs/>
        </w:rPr>
        <w:t>Prioritize and establish accessible and expeditious mechanisms to ensure that persons</w:t>
      </w:r>
      <w:r w:rsidRPr="00502ECB">
        <w:rPr>
          <w:b/>
          <w:bCs/>
        </w:rPr>
        <w:t xml:space="preserve"> with intellectual disabilities and persons with psychosocial disabilities </w:t>
      </w:r>
      <w:r w:rsidR="001D7369" w:rsidRPr="00502ECB">
        <w:rPr>
          <w:b/>
          <w:bCs/>
        </w:rPr>
        <w:t>in institutions</w:t>
      </w:r>
      <w:r w:rsidRPr="00502ECB">
        <w:rPr>
          <w:b/>
          <w:bCs/>
        </w:rPr>
        <w:t xml:space="preserve"> regain their legal capacity</w:t>
      </w:r>
      <w:r w:rsidR="001D7369" w:rsidRPr="00502ECB">
        <w:rPr>
          <w:b/>
          <w:bCs/>
        </w:rPr>
        <w:t xml:space="preserve"> and have access to </w:t>
      </w:r>
      <w:r w:rsidR="0082602B" w:rsidRPr="00502ECB">
        <w:rPr>
          <w:b/>
          <w:bCs/>
        </w:rPr>
        <w:t xml:space="preserve">genuine </w:t>
      </w:r>
      <w:r w:rsidR="001D7369" w:rsidRPr="00502ECB">
        <w:rPr>
          <w:b/>
          <w:bCs/>
        </w:rPr>
        <w:t>support measures</w:t>
      </w:r>
      <w:r w:rsidR="0082602B" w:rsidRPr="00502ECB">
        <w:rPr>
          <w:b/>
          <w:bCs/>
        </w:rPr>
        <w:t xml:space="preserve"> compatible with the Convention</w:t>
      </w:r>
      <w:r w:rsidR="002D30A0">
        <w:rPr>
          <w:b/>
          <w:bCs/>
        </w:rPr>
        <w:t>.</w:t>
      </w:r>
    </w:p>
    <w:p w14:paraId="4D905EF1" w14:textId="1208979A" w:rsidR="00862085" w:rsidRPr="00502ECB" w:rsidRDefault="00862085" w:rsidP="00862085">
      <w:pPr>
        <w:pStyle w:val="H23G"/>
        <w:outlineLvl w:val="2"/>
      </w:pPr>
      <w:r w:rsidRPr="00502ECB">
        <w:tab/>
      </w:r>
      <w:r w:rsidRPr="00502ECB">
        <w:tab/>
        <w:t>Access to justice (art. 13)</w:t>
      </w:r>
    </w:p>
    <w:p w14:paraId="36972FE6" w14:textId="716C890E" w:rsidR="00862085" w:rsidRPr="00502ECB" w:rsidRDefault="00862085" w:rsidP="00862085">
      <w:pPr>
        <w:pStyle w:val="SingleTxtG"/>
      </w:pPr>
      <w:r w:rsidRPr="00502ECB">
        <w:t>27.</w:t>
      </w:r>
      <w:r w:rsidRPr="00502ECB">
        <w:tab/>
        <w:t>The Committee notes with concern:</w:t>
      </w:r>
    </w:p>
    <w:p w14:paraId="25F313F2" w14:textId="5BCB2B75" w:rsidR="00862085" w:rsidRPr="00502ECB" w:rsidRDefault="00862085" w:rsidP="008931E4">
      <w:pPr>
        <w:pStyle w:val="SingleTxtG"/>
        <w:ind w:firstLine="567"/>
        <w:rPr>
          <w:szCs w:val="24"/>
        </w:rPr>
      </w:pPr>
      <w:r w:rsidRPr="00502ECB">
        <w:tab/>
        <w:t>(a)</w:t>
      </w:r>
      <w:r w:rsidRPr="00502ECB">
        <w:tab/>
      </w:r>
      <w:r w:rsidRPr="00502ECB">
        <w:rPr>
          <w:szCs w:val="24"/>
        </w:rPr>
        <w:t>The "Law of Georgia Criminal Procedure Code Georgia"</w:t>
      </w:r>
      <w:r w:rsidR="001D7369" w:rsidRPr="00502ECB">
        <w:rPr>
          <w:szCs w:val="24"/>
        </w:rPr>
        <w:t>,</w:t>
      </w:r>
      <w:r w:rsidRPr="00502ECB">
        <w:rPr>
          <w:szCs w:val="24"/>
        </w:rPr>
        <w:t xml:space="preserve"> excluding persons with disabilities </w:t>
      </w:r>
      <w:r w:rsidR="0082602B" w:rsidRPr="00502ECB">
        <w:rPr>
          <w:szCs w:val="24"/>
        </w:rPr>
        <w:t>“</w:t>
      </w:r>
      <w:r w:rsidRPr="00502ECB">
        <w:rPr>
          <w:szCs w:val="24"/>
        </w:rPr>
        <w:t>not able to adequately comprehend, memorize and recollect the circumstances that are essential to the case, and to give information or testimony</w:t>
      </w:r>
      <w:r w:rsidR="0082602B" w:rsidRPr="00502ECB">
        <w:rPr>
          <w:szCs w:val="24"/>
        </w:rPr>
        <w:t>”</w:t>
      </w:r>
      <w:r w:rsidRPr="00502ECB">
        <w:rPr>
          <w:szCs w:val="24"/>
        </w:rPr>
        <w:t xml:space="preserve"> from being interrogated as a </w:t>
      </w:r>
      <w:proofErr w:type="gramStart"/>
      <w:r w:rsidRPr="00502ECB">
        <w:rPr>
          <w:szCs w:val="24"/>
        </w:rPr>
        <w:t>witness</w:t>
      </w:r>
      <w:r w:rsidR="001D7369" w:rsidRPr="00502ECB">
        <w:rPr>
          <w:szCs w:val="24"/>
        </w:rPr>
        <w:t>es</w:t>
      </w:r>
      <w:proofErr w:type="gramEnd"/>
      <w:r w:rsidR="001D7369" w:rsidRPr="00502ECB">
        <w:rPr>
          <w:szCs w:val="24"/>
        </w:rPr>
        <w:t>,</w:t>
      </w:r>
      <w:r w:rsidRPr="00502ECB">
        <w:rPr>
          <w:szCs w:val="24"/>
        </w:rPr>
        <w:t xml:space="preserve"> including in cases of alleged abuse</w:t>
      </w:r>
      <w:r w:rsidR="001D7369" w:rsidRPr="00502ECB">
        <w:rPr>
          <w:szCs w:val="24"/>
        </w:rPr>
        <w:t>, and denying</w:t>
      </w:r>
      <w:r w:rsidR="0082602B" w:rsidRPr="00502ECB">
        <w:rPr>
          <w:szCs w:val="24"/>
        </w:rPr>
        <w:t xml:space="preserve"> </w:t>
      </w:r>
      <w:r w:rsidRPr="00502ECB">
        <w:rPr>
          <w:szCs w:val="24"/>
        </w:rPr>
        <w:t>persons with disabilities undergoing compulsory psychiatric treatment the right to request a review</w:t>
      </w:r>
      <w:r w:rsidR="001D7369" w:rsidRPr="00502ECB">
        <w:rPr>
          <w:szCs w:val="24"/>
        </w:rPr>
        <w:t xml:space="preserve"> of the treatment by a judicial authority;</w:t>
      </w:r>
    </w:p>
    <w:p w14:paraId="7950F3BE" w14:textId="5BBC0DF0" w:rsidR="00862085" w:rsidRPr="00502ECB" w:rsidRDefault="00862085" w:rsidP="008931E4">
      <w:pPr>
        <w:pStyle w:val="SingleTxtG"/>
        <w:ind w:firstLine="567"/>
        <w:rPr>
          <w:szCs w:val="24"/>
        </w:rPr>
      </w:pPr>
      <w:r w:rsidRPr="00502ECB">
        <w:rPr>
          <w:szCs w:val="24"/>
        </w:rPr>
        <w:tab/>
        <w:t>(b)</w:t>
      </w:r>
      <w:r w:rsidRPr="00502ECB">
        <w:rPr>
          <w:szCs w:val="24"/>
        </w:rPr>
        <w:tab/>
        <w:t>The lack of accessibility and effective procedural accommodation in</w:t>
      </w:r>
      <w:r w:rsidR="001D7369" w:rsidRPr="00502ECB">
        <w:rPr>
          <w:szCs w:val="24"/>
        </w:rPr>
        <w:t xml:space="preserve"> judicial and administrative </w:t>
      </w:r>
      <w:proofErr w:type="gramStart"/>
      <w:r w:rsidR="001D7369" w:rsidRPr="00502ECB">
        <w:rPr>
          <w:szCs w:val="24"/>
        </w:rPr>
        <w:t>procedures</w:t>
      </w:r>
      <w:r w:rsidRPr="00502ECB">
        <w:rPr>
          <w:szCs w:val="24"/>
        </w:rPr>
        <w:t>;</w:t>
      </w:r>
      <w:proofErr w:type="gramEnd"/>
    </w:p>
    <w:p w14:paraId="31A3AF25" w14:textId="66CC9E3B" w:rsidR="00862085" w:rsidRPr="00502ECB" w:rsidRDefault="00862085" w:rsidP="008931E4">
      <w:pPr>
        <w:pStyle w:val="SingleTxtG"/>
        <w:ind w:firstLine="567"/>
        <w:rPr>
          <w:szCs w:val="24"/>
        </w:rPr>
      </w:pPr>
      <w:r w:rsidRPr="00502ECB">
        <w:rPr>
          <w:szCs w:val="24"/>
        </w:rPr>
        <w:tab/>
        <w:t>(c)</w:t>
      </w:r>
      <w:r w:rsidRPr="00502ECB">
        <w:rPr>
          <w:szCs w:val="24"/>
        </w:rPr>
        <w:tab/>
        <w:t>The lack of information about legal aid and remedies</w:t>
      </w:r>
      <w:r w:rsidR="005E0235" w:rsidRPr="00502ECB">
        <w:rPr>
          <w:szCs w:val="24"/>
        </w:rPr>
        <w:t xml:space="preserve">, including access to a lawyer, for persons with </w:t>
      </w:r>
      <w:proofErr w:type="gramStart"/>
      <w:r w:rsidR="005E0235" w:rsidRPr="00502ECB">
        <w:rPr>
          <w:szCs w:val="24"/>
        </w:rPr>
        <w:t>disabilities;</w:t>
      </w:r>
      <w:proofErr w:type="gramEnd"/>
    </w:p>
    <w:p w14:paraId="6F82E04D" w14:textId="31E37385" w:rsidR="00862085" w:rsidRPr="00502ECB" w:rsidRDefault="00862085" w:rsidP="008931E4">
      <w:pPr>
        <w:pStyle w:val="SingleTxtG"/>
        <w:ind w:firstLine="567"/>
        <w:rPr>
          <w:szCs w:val="24"/>
        </w:rPr>
      </w:pPr>
      <w:r w:rsidRPr="00502ECB">
        <w:rPr>
          <w:szCs w:val="24"/>
        </w:rPr>
        <w:tab/>
        <w:t>(d)</w:t>
      </w:r>
      <w:r w:rsidRPr="00502ECB">
        <w:rPr>
          <w:szCs w:val="24"/>
        </w:rPr>
        <w:tab/>
        <w:t xml:space="preserve">Reports of impunity for abuses by law enforcement </w:t>
      </w:r>
      <w:proofErr w:type="gramStart"/>
      <w:r w:rsidRPr="00502ECB">
        <w:rPr>
          <w:szCs w:val="24"/>
        </w:rPr>
        <w:t>officials;</w:t>
      </w:r>
      <w:proofErr w:type="gramEnd"/>
    </w:p>
    <w:p w14:paraId="0E2450A4" w14:textId="2DDF0CB2" w:rsidR="00862085" w:rsidRPr="00502ECB" w:rsidRDefault="00862085" w:rsidP="008931E4">
      <w:pPr>
        <w:pStyle w:val="SingleTxtG"/>
        <w:ind w:firstLine="567"/>
        <w:rPr>
          <w:szCs w:val="24"/>
        </w:rPr>
      </w:pPr>
      <w:r w:rsidRPr="00502ECB">
        <w:rPr>
          <w:szCs w:val="24"/>
        </w:rPr>
        <w:tab/>
        <w:t>(e)</w:t>
      </w:r>
      <w:r w:rsidRPr="00502ECB">
        <w:rPr>
          <w:szCs w:val="24"/>
        </w:rPr>
        <w:tab/>
        <w:t>Reports of online harassment towards persons with disabilities</w:t>
      </w:r>
      <w:r w:rsidR="005E0235" w:rsidRPr="00502ECB">
        <w:rPr>
          <w:szCs w:val="24"/>
        </w:rPr>
        <w:t xml:space="preserve"> not prosecuted despite the existence of criminal provisions against online harassment.</w:t>
      </w:r>
    </w:p>
    <w:p w14:paraId="2236557C" w14:textId="3699333A" w:rsidR="00862085" w:rsidRPr="00502ECB" w:rsidRDefault="00862085" w:rsidP="00862085">
      <w:pPr>
        <w:pStyle w:val="SingleTxtG"/>
      </w:pPr>
      <w:r w:rsidRPr="00502ECB">
        <w:t>28.</w:t>
      </w:r>
      <w:r w:rsidRPr="00502ECB">
        <w:tab/>
      </w:r>
      <w:r w:rsidRPr="00502ECB">
        <w:rPr>
          <w:b/>
        </w:rPr>
        <w:t>The Committee recalls the International Principles and Guidelines on Access to Justice for Persons with Disabilities, of 2020, and target 16.3 of the Sustainable Development Goals, and recommends that the State party:</w:t>
      </w:r>
    </w:p>
    <w:p w14:paraId="7C651249" w14:textId="47C74F96" w:rsidR="00862085" w:rsidRPr="008931E4" w:rsidRDefault="00862085" w:rsidP="008931E4">
      <w:pPr>
        <w:pStyle w:val="SingleTxtG"/>
        <w:ind w:firstLine="567"/>
        <w:rPr>
          <w:b/>
          <w:szCs w:val="24"/>
        </w:rPr>
      </w:pPr>
      <w:r w:rsidRPr="00502ECB">
        <w:rPr>
          <w:b/>
          <w:szCs w:val="24"/>
        </w:rPr>
        <w:tab/>
      </w:r>
      <w:r w:rsidRPr="008931E4">
        <w:rPr>
          <w:b/>
          <w:bCs/>
          <w:szCs w:val="24"/>
        </w:rPr>
        <w:t>(a)</w:t>
      </w:r>
      <w:r w:rsidRPr="008931E4">
        <w:rPr>
          <w:b/>
          <w:bCs/>
          <w:szCs w:val="24"/>
        </w:rPr>
        <w:tab/>
      </w:r>
      <w:r w:rsidRPr="008931E4">
        <w:rPr>
          <w:b/>
          <w:szCs w:val="24"/>
        </w:rPr>
        <w:t xml:space="preserve">Repeal </w:t>
      </w:r>
      <w:r w:rsidR="005E0235" w:rsidRPr="008931E4">
        <w:rPr>
          <w:b/>
          <w:szCs w:val="24"/>
        </w:rPr>
        <w:t xml:space="preserve">all </w:t>
      </w:r>
      <w:r w:rsidRPr="008931E4">
        <w:rPr>
          <w:b/>
          <w:szCs w:val="24"/>
        </w:rPr>
        <w:t>legal provisions that restrict the right of persons with</w:t>
      </w:r>
      <w:r w:rsidRPr="008931E4">
        <w:rPr>
          <w:b/>
          <w:szCs w:val="24"/>
        </w:rPr>
        <w:tab/>
        <w:t xml:space="preserve">disabilities to participate in </w:t>
      </w:r>
      <w:r w:rsidR="005E0235" w:rsidRPr="008931E4">
        <w:rPr>
          <w:b/>
          <w:szCs w:val="24"/>
        </w:rPr>
        <w:t xml:space="preserve">administrative and </w:t>
      </w:r>
      <w:r w:rsidRPr="008931E4">
        <w:rPr>
          <w:b/>
          <w:szCs w:val="24"/>
        </w:rPr>
        <w:t xml:space="preserve">judicial proceedings and recognize their </w:t>
      </w:r>
      <w:r w:rsidR="005E0235" w:rsidRPr="008931E4">
        <w:rPr>
          <w:b/>
          <w:szCs w:val="24"/>
        </w:rPr>
        <w:t>right</w:t>
      </w:r>
      <w:r w:rsidRPr="008931E4">
        <w:rPr>
          <w:b/>
          <w:szCs w:val="24"/>
        </w:rPr>
        <w:t xml:space="preserve"> to participate in</w:t>
      </w:r>
      <w:r w:rsidR="005E0235" w:rsidRPr="008931E4">
        <w:rPr>
          <w:b/>
          <w:szCs w:val="24"/>
        </w:rPr>
        <w:t xml:space="preserve"> administrative and</w:t>
      </w:r>
      <w:r w:rsidRPr="008931E4">
        <w:rPr>
          <w:b/>
          <w:szCs w:val="24"/>
        </w:rPr>
        <w:t xml:space="preserve"> judicial proceedings in all roles</w:t>
      </w:r>
      <w:r w:rsidR="005E0235" w:rsidRPr="008931E4">
        <w:rPr>
          <w:b/>
          <w:szCs w:val="24"/>
        </w:rPr>
        <w:t>,</w:t>
      </w:r>
      <w:r w:rsidRPr="008931E4">
        <w:rPr>
          <w:b/>
          <w:szCs w:val="24"/>
        </w:rPr>
        <w:t xml:space="preserve"> on an equal basis with </w:t>
      </w:r>
      <w:proofErr w:type="gramStart"/>
      <w:r w:rsidRPr="008931E4">
        <w:rPr>
          <w:b/>
          <w:szCs w:val="24"/>
        </w:rPr>
        <w:t>others;</w:t>
      </w:r>
      <w:proofErr w:type="gramEnd"/>
    </w:p>
    <w:p w14:paraId="4C7B7673" w14:textId="5C2C8267" w:rsidR="00862085" w:rsidRPr="008931E4" w:rsidRDefault="00862085" w:rsidP="008931E4">
      <w:pPr>
        <w:pStyle w:val="SingleTxtG"/>
        <w:ind w:firstLine="567"/>
        <w:rPr>
          <w:b/>
          <w:bCs/>
          <w:szCs w:val="24"/>
        </w:rPr>
      </w:pPr>
      <w:r w:rsidRPr="008931E4">
        <w:rPr>
          <w:b/>
          <w:szCs w:val="24"/>
        </w:rPr>
        <w:tab/>
      </w:r>
      <w:r w:rsidRPr="008931E4">
        <w:rPr>
          <w:b/>
          <w:bCs/>
          <w:szCs w:val="24"/>
        </w:rPr>
        <w:t>(b)</w:t>
      </w:r>
      <w:r w:rsidRPr="008931E4">
        <w:rPr>
          <w:b/>
          <w:szCs w:val="24"/>
        </w:rPr>
        <w:tab/>
      </w:r>
      <w:r w:rsidR="000C7829" w:rsidRPr="008931E4">
        <w:rPr>
          <w:b/>
          <w:szCs w:val="24"/>
        </w:rPr>
        <w:t>Provide gender- and age-appropriate procedural accommodation for persons with disabilities</w:t>
      </w:r>
      <w:r w:rsidRPr="008931E4">
        <w:rPr>
          <w:b/>
          <w:szCs w:val="24"/>
        </w:rPr>
        <w:t xml:space="preserve"> </w:t>
      </w:r>
      <w:r w:rsidR="000C7829" w:rsidRPr="008931E4">
        <w:rPr>
          <w:b/>
          <w:szCs w:val="24"/>
        </w:rPr>
        <w:t xml:space="preserve">ensuring </w:t>
      </w:r>
      <w:r w:rsidRPr="008931E4">
        <w:rPr>
          <w:b/>
          <w:szCs w:val="24"/>
        </w:rPr>
        <w:t xml:space="preserve">physical, information and communication accessibility </w:t>
      </w:r>
      <w:r w:rsidR="000C7829" w:rsidRPr="008931E4">
        <w:rPr>
          <w:b/>
          <w:szCs w:val="24"/>
        </w:rPr>
        <w:t>of administrative and judicial procedures</w:t>
      </w:r>
      <w:r w:rsidRPr="008931E4">
        <w:rPr>
          <w:b/>
          <w:szCs w:val="24"/>
        </w:rPr>
        <w:t>, including the provision of professional sign language interpreters</w:t>
      </w:r>
      <w:r w:rsidR="000C7829" w:rsidRPr="008931E4">
        <w:rPr>
          <w:b/>
          <w:szCs w:val="24"/>
        </w:rPr>
        <w:t xml:space="preserve"> and</w:t>
      </w:r>
      <w:r w:rsidRPr="008931E4">
        <w:rPr>
          <w:b/>
          <w:szCs w:val="24"/>
        </w:rPr>
        <w:t xml:space="preserve"> the use of </w:t>
      </w:r>
      <w:proofErr w:type="gramStart"/>
      <w:r w:rsidRPr="008931E4">
        <w:rPr>
          <w:b/>
          <w:szCs w:val="24"/>
        </w:rPr>
        <w:t>Braille;</w:t>
      </w:r>
      <w:proofErr w:type="gramEnd"/>
    </w:p>
    <w:p w14:paraId="70328023" w14:textId="2A1D135E" w:rsidR="00862085" w:rsidRPr="00502ECB" w:rsidRDefault="00862085" w:rsidP="008931E4">
      <w:pPr>
        <w:pStyle w:val="SingleTxtG"/>
        <w:ind w:firstLine="567"/>
        <w:rPr>
          <w:b/>
          <w:szCs w:val="24"/>
        </w:rPr>
      </w:pPr>
      <w:r w:rsidRPr="008931E4">
        <w:rPr>
          <w:b/>
          <w:szCs w:val="24"/>
        </w:rPr>
        <w:tab/>
      </w:r>
      <w:r w:rsidRPr="008931E4">
        <w:rPr>
          <w:b/>
          <w:bCs/>
          <w:szCs w:val="24"/>
        </w:rPr>
        <w:t>(c)</w:t>
      </w:r>
      <w:r w:rsidRPr="008931E4">
        <w:rPr>
          <w:b/>
          <w:bCs/>
          <w:szCs w:val="24"/>
        </w:rPr>
        <w:tab/>
        <w:t>Guarantee persons with disabilities access to legal aid services</w:t>
      </w:r>
      <w:r w:rsidR="000C7829" w:rsidRPr="008931E4">
        <w:rPr>
          <w:b/>
          <w:bCs/>
          <w:szCs w:val="24"/>
        </w:rPr>
        <w:t>,</w:t>
      </w:r>
      <w:r w:rsidRPr="008931E4">
        <w:rPr>
          <w:b/>
          <w:bCs/>
          <w:szCs w:val="24"/>
        </w:rPr>
        <w:t xml:space="preserve"> particularly</w:t>
      </w:r>
      <w:r w:rsidR="000C7829" w:rsidRPr="00502ECB">
        <w:rPr>
          <w:b/>
          <w:bCs/>
          <w:szCs w:val="24"/>
        </w:rPr>
        <w:t xml:space="preserve"> to</w:t>
      </w:r>
      <w:r w:rsidRPr="00502ECB">
        <w:rPr>
          <w:b/>
          <w:bCs/>
          <w:szCs w:val="24"/>
        </w:rPr>
        <w:t xml:space="preserve"> </w:t>
      </w:r>
      <w:r w:rsidR="000C7829" w:rsidRPr="00502ECB">
        <w:rPr>
          <w:b/>
          <w:bCs/>
          <w:szCs w:val="24"/>
        </w:rPr>
        <w:t xml:space="preserve">competent </w:t>
      </w:r>
      <w:r w:rsidRPr="00502ECB">
        <w:rPr>
          <w:b/>
          <w:bCs/>
          <w:szCs w:val="24"/>
        </w:rPr>
        <w:t xml:space="preserve">lawyers and </w:t>
      </w:r>
      <w:r w:rsidR="000C7829" w:rsidRPr="00502ECB">
        <w:rPr>
          <w:b/>
          <w:bCs/>
          <w:szCs w:val="24"/>
        </w:rPr>
        <w:t xml:space="preserve">actively inform </w:t>
      </w:r>
      <w:r w:rsidRPr="00502ECB">
        <w:rPr>
          <w:b/>
          <w:bCs/>
          <w:szCs w:val="24"/>
        </w:rPr>
        <w:t xml:space="preserve">persons with disabilities about their </w:t>
      </w:r>
      <w:proofErr w:type="gramStart"/>
      <w:r w:rsidRPr="00502ECB">
        <w:rPr>
          <w:b/>
          <w:bCs/>
          <w:szCs w:val="24"/>
        </w:rPr>
        <w:t>rights;</w:t>
      </w:r>
      <w:proofErr w:type="gramEnd"/>
    </w:p>
    <w:p w14:paraId="735B5AD8" w14:textId="3EC6BDE9" w:rsidR="00862085" w:rsidRPr="008931E4" w:rsidRDefault="00862085" w:rsidP="00FB35F7">
      <w:pPr>
        <w:pStyle w:val="SingleTxtG"/>
        <w:ind w:firstLine="567"/>
        <w:rPr>
          <w:b/>
          <w:bCs/>
          <w:szCs w:val="24"/>
        </w:rPr>
      </w:pPr>
      <w:r w:rsidRPr="008931E4">
        <w:rPr>
          <w:b/>
          <w:bCs/>
          <w:szCs w:val="24"/>
        </w:rPr>
        <w:lastRenderedPageBreak/>
        <w:t>(d</w:t>
      </w:r>
      <w:r w:rsidRPr="008931E4">
        <w:rPr>
          <w:b/>
          <w:szCs w:val="24"/>
        </w:rPr>
        <w:t>)</w:t>
      </w:r>
      <w:r w:rsidRPr="008931E4">
        <w:rPr>
          <w:b/>
          <w:szCs w:val="24"/>
        </w:rPr>
        <w:tab/>
      </w:r>
      <w:r w:rsidRPr="008931E4">
        <w:rPr>
          <w:b/>
          <w:bCs/>
          <w:szCs w:val="24"/>
        </w:rPr>
        <w:t>Expand independent monitoring mechanisms for law enforcement</w:t>
      </w:r>
      <w:r w:rsidR="000C7829" w:rsidRPr="008931E4">
        <w:rPr>
          <w:b/>
          <w:bCs/>
          <w:szCs w:val="24"/>
        </w:rPr>
        <w:t xml:space="preserve"> to issues of access to justice,</w:t>
      </w:r>
      <w:r w:rsidRPr="008931E4">
        <w:rPr>
          <w:b/>
          <w:bCs/>
          <w:szCs w:val="24"/>
        </w:rPr>
        <w:t xml:space="preserve"> and </w:t>
      </w:r>
      <w:r w:rsidR="00335673" w:rsidRPr="008931E4">
        <w:rPr>
          <w:b/>
          <w:bCs/>
          <w:szCs w:val="24"/>
        </w:rPr>
        <w:t>ensure</w:t>
      </w:r>
      <w:r w:rsidRPr="008931E4">
        <w:rPr>
          <w:b/>
          <w:bCs/>
          <w:szCs w:val="24"/>
        </w:rPr>
        <w:t xml:space="preserve"> that reports of abuse </w:t>
      </w:r>
      <w:r w:rsidR="00335673" w:rsidRPr="008931E4">
        <w:rPr>
          <w:b/>
          <w:bCs/>
          <w:szCs w:val="24"/>
        </w:rPr>
        <w:t xml:space="preserve">of </w:t>
      </w:r>
      <w:r w:rsidRPr="008931E4">
        <w:rPr>
          <w:b/>
          <w:bCs/>
          <w:szCs w:val="24"/>
        </w:rPr>
        <w:t>persons with disabilities are investigated</w:t>
      </w:r>
      <w:r w:rsidR="00335673" w:rsidRPr="008931E4">
        <w:rPr>
          <w:b/>
          <w:bCs/>
          <w:szCs w:val="24"/>
        </w:rPr>
        <w:t xml:space="preserve"> </w:t>
      </w:r>
      <w:proofErr w:type="gramStart"/>
      <w:r w:rsidR="00335673" w:rsidRPr="008931E4">
        <w:rPr>
          <w:b/>
          <w:bCs/>
          <w:szCs w:val="24"/>
        </w:rPr>
        <w:t>effectively</w:t>
      </w:r>
      <w:r w:rsidRPr="008931E4">
        <w:rPr>
          <w:b/>
          <w:bCs/>
          <w:szCs w:val="24"/>
        </w:rPr>
        <w:t>;</w:t>
      </w:r>
      <w:proofErr w:type="gramEnd"/>
    </w:p>
    <w:p w14:paraId="79ADFBB9" w14:textId="230F42B8" w:rsidR="00117BE0" w:rsidRPr="008931E4" w:rsidRDefault="00862085" w:rsidP="0066669F">
      <w:pPr>
        <w:pStyle w:val="SingleTxtG"/>
        <w:ind w:firstLine="567"/>
        <w:rPr>
          <w:b/>
          <w:bCs/>
          <w:szCs w:val="24"/>
        </w:rPr>
      </w:pPr>
      <w:r w:rsidRPr="008931E4">
        <w:rPr>
          <w:b/>
          <w:bCs/>
          <w:szCs w:val="24"/>
        </w:rPr>
        <w:tab/>
      </w:r>
      <w:r w:rsidRPr="008931E4">
        <w:rPr>
          <w:b/>
          <w:szCs w:val="24"/>
        </w:rPr>
        <w:t>(e)</w:t>
      </w:r>
      <w:r w:rsidRPr="008931E4">
        <w:rPr>
          <w:b/>
          <w:szCs w:val="24"/>
        </w:rPr>
        <w:tab/>
      </w:r>
      <w:r w:rsidR="00117BE0" w:rsidRPr="008931E4">
        <w:rPr>
          <w:b/>
          <w:bCs/>
          <w:szCs w:val="24"/>
        </w:rPr>
        <w:t xml:space="preserve">Strengthen training for law enforcement officials and the legal profession about the equal rights of persons with disabilities to access to justice and to ensure provisions in the Convention are invoked in conducting judicial proceedings and in judicial </w:t>
      </w:r>
      <w:proofErr w:type="gramStart"/>
      <w:r w:rsidR="00117BE0" w:rsidRPr="008931E4">
        <w:rPr>
          <w:b/>
          <w:bCs/>
          <w:szCs w:val="24"/>
        </w:rPr>
        <w:t>decisions;</w:t>
      </w:r>
      <w:proofErr w:type="gramEnd"/>
      <w:r w:rsidR="00117BE0" w:rsidRPr="008931E4">
        <w:rPr>
          <w:b/>
          <w:bCs/>
          <w:szCs w:val="24"/>
        </w:rPr>
        <w:t xml:space="preserve"> </w:t>
      </w:r>
    </w:p>
    <w:p w14:paraId="697B46F8" w14:textId="3F6E5103" w:rsidR="00FF6CE1" w:rsidRPr="00502ECB" w:rsidRDefault="00117BE0" w:rsidP="0066669F">
      <w:pPr>
        <w:pStyle w:val="SingleTxtG"/>
        <w:ind w:firstLine="567"/>
        <w:rPr>
          <w:b/>
          <w:szCs w:val="24"/>
        </w:rPr>
      </w:pPr>
      <w:r w:rsidRPr="008931E4">
        <w:rPr>
          <w:b/>
          <w:szCs w:val="24"/>
        </w:rPr>
        <w:t>(f)</w:t>
      </w:r>
      <w:r w:rsidRPr="00502ECB">
        <w:rPr>
          <w:b/>
          <w:bCs/>
          <w:szCs w:val="24"/>
        </w:rPr>
        <w:tab/>
        <w:t>Establish effective mechanisms to enforce existing laws against hate-crimes, in particular online harassment, against persons with disabilities and introduce accessible tools and information, including in Easy Read, to provide persons with disabilities with information about the status of their complaints</w:t>
      </w:r>
      <w:r w:rsidR="002D30A0">
        <w:rPr>
          <w:b/>
          <w:bCs/>
          <w:szCs w:val="24"/>
        </w:rPr>
        <w:t>.</w:t>
      </w:r>
    </w:p>
    <w:p w14:paraId="77AEBA09" w14:textId="0359B6DF" w:rsidR="0066669F" w:rsidRPr="00502ECB" w:rsidRDefault="0066669F" w:rsidP="0066669F">
      <w:pPr>
        <w:pStyle w:val="H23G"/>
        <w:outlineLvl w:val="2"/>
      </w:pPr>
      <w:r w:rsidRPr="00502ECB">
        <w:tab/>
      </w:r>
      <w:r w:rsidRPr="00502ECB">
        <w:tab/>
        <w:t>Liberty and security of person (art. 14)</w:t>
      </w:r>
    </w:p>
    <w:p w14:paraId="0523F152" w14:textId="0D3D8C6A" w:rsidR="0066669F" w:rsidRPr="00502ECB" w:rsidRDefault="0066669F" w:rsidP="0066669F">
      <w:pPr>
        <w:pStyle w:val="SingleTxtG"/>
      </w:pPr>
      <w:r w:rsidRPr="00502ECB">
        <w:t>29.</w:t>
      </w:r>
      <w:r w:rsidRPr="00502ECB">
        <w:tab/>
        <w:t xml:space="preserve">The Committee </w:t>
      </w:r>
      <w:r w:rsidR="00B565C6">
        <w:t xml:space="preserve">observes with </w:t>
      </w:r>
      <w:r w:rsidRPr="00502ECB">
        <w:t>concern:</w:t>
      </w:r>
    </w:p>
    <w:p w14:paraId="40B1E615" w14:textId="31E321CA" w:rsidR="00BF483C" w:rsidRPr="00502ECB" w:rsidRDefault="00BF483C" w:rsidP="00BF483C">
      <w:pPr>
        <w:pStyle w:val="SingleTxtG"/>
        <w:ind w:firstLine="567"/>
      </w:pPr>
      <w:r w:rsidRPr="00502ECB">
        <w:t>(a)</w:t>
      </w:r>
      <w:r w:rsidRPr="00502ECB">
        <w:tab/>
      </w:r>
      <w:r w:rsidR="0053290D" w:rsidRPr="00502ECB">
        <w:t>I</w:t>
      </w:r>
      <w:r w:rsidRPr="00502ECB">
        <w:t>nvoluntary psychiatric inpatient and specialist care in</w:t>
      </w:r>
      <w:r w:rsidR="0053290D" w:rsidRPr="00502ECB">
        <w:t xml:space="preserve"> designated</w:t>
      </w:r>
      <w:r w:rsidRPr="00502ECB">
        <w:t xml:space="preserve"> facilities on the basis of disability, </w:t>
      </w:r>
      <w:r w:rsidR="004C0649">
        <w:t xml:space="preserve">as envisaged by the Oviedo Convention, </w:t>
      </w:r>
      <w:r w:rsidRPr="00502ECB">
        <w:t>affecting</w:t>
      </w:r>
      <w:r w:rsidR="0053290D" w:rsidRPr="00502ECB">
        <w:t xml:space="preserve"> particularly</w:t>
      </w:r>
      <w:r w:rsidRPr="00502ECB">
        <w:t xml:space="preserve"> </w:t>
      </w:r>
      <w:r w:rsidR="00E71A15" w:rsidRPr="00502ECB">
        <w:t xml:space="preserve">adults and children with </w:t>
      </w:r>
      <w:r w:rsidRPr="00502ECB">
        <w:t xml:space="preserve">intellectual disabilities and persons with psychosocial </w:t>
      </w:r>
      <w:proofErr w:type="gramStart"/>
      <w:r w:rsidRPr="00502ECB">
        <w:t>disabilities;</w:t>
      </w:r>
      <w:proofErr w:type="gramEnd"/>
      <w:r w:rsidRPr="00502ECB">
        <w:t xml:space="preserve"> </w:t>
      </w:r>
    </w:p>
    <w:p w14:paraId="289FB872" w14:textId="77777777" w:rsidR="00B57B9B" w:rsidRDefault="00BF483C" w:rsidP="006F67A9">
      <w:pPr>
        <w:pStyle w:val="SingleTxtG"/>
        <w:ind w:firstLine="567"/>
        <w:rPr>
          <w:lang w:val="en-US"/>
        </w:rPr>
      </w:pPr>
      <w:r w:rsidRPr="00502ECB">
        <w:t>(b)</w:t>
      </w:r>
      <w:r w:rsidRPr="00502ECB">
        <w:tab/>
      </w:r>
      <w:r w:rsidR="0002202C" w:rsidRPr="00502ECB">
        <w:t xml:space="preserve">The </w:t>
      </w:r>
      <w:r w:rsidR="0002202C" w:rsidRPr="00502ECB">
        <w:rPr>
          <w:lang w:val="en-US"/>
        </w:rPr>
        <w:t>lack of accessibility of the physical environment of penitentiary institutions,</w:t>
      </w:r>
      <w:r w:rsidR="00F302D9" w:rsidRPr="00502ECB">
        <w:rPr>
          <w:lang w:val="en-US"/>
        </w:rPr>
        <w:t xml:space="preserve"> including the absence of accessible meeting rooms </w:t>
      </w:r>
      <w:r w:rsidR="0002202C" w:rsidRPr="00502ECB">
        <w:rPr>
          <w:lang w:val="en-US"/>
        </w:rPr>
        <w:t xml:space="preserve">for </w:t>
      </w:r>
      <w:r w:rsidR="00F302D9" w:rsidRPr="00502ECB">
        <w:rPr>
          <w:lang w:val="en-US"/>
        </w:rPr>
        <w:t>persons</w:t>
      </w:r>
      <w:r w:rsidR="0002202C" w:rsidRPr="00502ECB">
        <w:rPr>
          <w:lang w:val="en-US"/>
        </w:rPr>
        <w:t xml:space="preserve"> with disabilities</w:t>
      </w:r>
      <w:r w:rsidR="006F67A9" w:rsidRPr="00502ECB">
        <w:rPr>
          <w:lang w:val="en-US"/>
        </w:rPr>
        <w:t xml:space="preserve"> and their lawyers and for hosting meetings with</w:t>
      </w:r>
      <w:r w:rsidR="0053290D" w:rsidRPr="00502ECB">
        <w:rPr>
          <w:lang w:val="en-US"/>
        </w:rPr>
        <w:t xml:space="preserve"> visitors, including</w:t>
      </w:r>
      <w:r w:rsidR="006F67A9" w:rsidRPr="00502ECB">
        <w:rPr>
          <w:lang w:val="en-US"/>
        </w:rPr>
        <w:t xml:space="preserve"> </w:t>
      </w:r>
      <w:r w:rsidR="0002202C" w:rsidRPr="00502ECB">
        <w:rPr>
          <w:lang w:val="en-US"/>
        </w:rPr>
        <w:t xml:space="preserve">family </w:t>
      </w:r>
      <w:proofErr w:type="gramStart"/>
      <w:r w:rsidR="0002202C" w:rsidRPr="00502ECB">
        <w:rPr>
          <w:lang w:val="en-US"/>
        </w:rPr>
        <w:t>members</w:t>
      </w:r>
      <w:r w:rsidR="00B57B9B">
        <w:rPr>
          <w:lang w:val="en-US"/>
        </w:rPr>
        <w:t>;</w:t>
      </w:r>
      <w:proofErr w:type="gramEnd"/>
    </w:p>
    <w:p w14:paraId="67BF805F" w14:textId="28F9EE3B" w:rsidR="00B565C6" w:rsidRDefault="00B57B9B" w:rsidP="00B565C6">
      <w:pPr>
        <w:pStyle w:val="SingleTxtG"/>
        <w:ind w:firstLine="567"/>
        <w:rPr>
          <w:lang w:val="en-US"/>
        </w:rPr>
      </w:pPr>
      <w:r>
        <w:rPr>
          <w:lang w:val="en-US"/>
        </w:rPr>
        <w:t>(c)</w:t>
      </w:r>
      <w:r>
        <w:rPr>
          <w:lang w:val="en-US"/>
        </w:rPr>
        <w:tab/>
      </w:r>
      <w:r w:rsidR="00B565C6" w:rsidRPr="004D281E">
        <w:rPr>
          <w:lang w:val="en-US"/>
        </w:rPr>
        <w:t>That the process to draft an Additional Protocol to the Oviedo Convention may include repressive measures against persons with disabilities due to their perceived dangerousness and not in accordance with their will and preferences.</w:t>
      </w:r>
    </w:p>
    <w:p w14:paraId="4769D955" w14:textId="1AC80943" w:rsidR="00BF483C" w:rsidRPr="00502ECB" w:rsidRDefault="00BF483C" w:rsidP="004D281E">
      <w:pPr>
        <w:pStyle w:val="SingleTxtG"/>
        <w:rPr>
          <w:b/>
          <w:lang w:val="en-US"/>
        </w:rPr>
      </w:pPr>
      <w:r w:rsidRPr="00502ECB">
        <w:rPr>
          <w:lang w:val="en-US"/>
        </w:rPr>
        <w:t>3</w:t>
      </w:r>
      <w:r w:rsidR="006F67A9" w:rsidRPr="00502ECB">
        <w:rPr>
          <w:lang w:val="en-US"/>
        </w:rPr>
        <w:t>0</w:t>
      </w:r>
      <w:r w:rsidRPr="00502ECB">
        <w:rPr>
          <w:lang w:val="en-US"/>
        </w:rPr>
        <w:t>.</w:t>
      </w:r>
      <w:r w:rsidR="00581AEE" w:rsidRPr="00502ECB">
        <w:rPr>
          <w:lang w:val="en-US"/>
        </w:rPr>
        <w:tab/>
      </w:r>
      <w:r w:rsidRPr="00502ECB">
        <w:rPr>
          <w:b/>
          <w:lang w:val="en-US"/>
        </w:rPr>
        <w:t xml:space="preserve">The Committee recommends that the State </w:t>
      </w:r>
      <w:proofErr w:type="gramStart"/>
      <w:r w:rsidRPr="00502ECB">
        <w:rPr>
          <w:b/>
          <w:lang w:val="en-US"/>
        </w:rPr>
        <w:t>party;</w:t>
      </w:r>
      <w:proofErr w:type="gramEnd"/>
    </w:p>
    <w:p w14:paraId="202F8CF8" w14:textId="0B0A7CA8" w:rsidR="00BF483C" w:rsidRPr="008931E4" w:rsidRDefault="00415A75" w:rsidP="00556960">
      <w:pPr>
        <w:pStyle w:val="SingleTxtG"/>
        <w:ind w:firstLine="567"/>
        <w:rPr>
          <w:b/>
          <w:lang w:val="en-US"/>
        </w:rPr>
      </w:pPr>
      <w:r w:rsidRPr="008931E4">
        <w:rPr>
          <w:b/>
          <w:bCs/>
          <w:lang w:val="en-US"/>
        </w:rPr>
        <w:t>(</w:t>
      </w:r>
      <w:r w:rsidR="00BF483C" w:rsidRPr="008931E4">
        <w:rPr>
          <w:b/>
          <w:bCs/>
          <w:lang w:val="en-US"/>
        </w:rPr>
        <w:t>a)</w:t>
      </w:r>
      <w:r w:rsidRPr="008931E4">
        <w:rPr>
          <w:b/>
          <w:lang w:val="en-US"/>
        </w:rPr>
        <w:tab/>
        <w:t>Withdraw provisions</w:t>
      </w:r>
      <w:r w:rsidR="00BF483C" w:rsidRPr="008931E4">
        <w:rPr>
          <w:b/>
          <w:lang w:val="en-US"/>
        </w:rPr>
        <w:t xml:space="preserve"> that allow </w:t>
      </w:r>
      <w:r w:rsidRPr="008931E4">
        <w:rPr>
          <w:b/>
          <w:lang w:val="en-US"/>
        </w:rPr>
        <w:t xml:space="preserve">for </w:t>
      </w:r>
      <w:r w:rsidR="00BF483C" w:rsidRPr="008931E4">
        <w:rPr>
          <w:b/>
          <w:lang w:val="en-US"/>
        </w:rPr>
        <w:t>involuntary</w:t>
      </w:r>
      <w:r w:rsidR="00E35542" w:rsidRPr="008931E4">
        <w:rPr>
          <w:b/>
          <w:lang w:val="en-US"/>
        </w:rPr>
        <w:t xml:space="preserve"> deprivation of liberty and</w:t>
      </w:r>
      <w:r w:rsidR="00BF483C" w:rsidRPr="008931E4">
        <w:rPr>
          <w:b/>
          <w:lang w:val="en-US"/>
        </w:rPr>
        <w:t xml:space="preserve"> </w:t>
      </w:r>
      <w:r w:rsidRPr="008931E4">
        <w:rPr>
          <w:b/>
          <w:lang w:val="en-US"/>
        </w:rPr>
        <w:t xml:space="preserve">treatment on the basis of disability and adopt measures to ensure the availability of </w:t>
      </w:r>
      <w:r w:rsidR="00556960" w:rsidRPr="008931E4">
        <w:rPr>
          <w:b/>
          <w:lang w:val="en-US"/>
        </w:rPr>
        <w:t>community</w:t>
      </w:r>
      <w:r w:rsidR="00AE404D" w:rsidRPr="008931E4">
        <w:rPr>
          <w:b/>
          <w:lang w:val="en-US"/>
        </w:rPr>
        <w:t xml:space="preserve"> and </w:t>
      </w:r>
      <w:r w:rsidR="00AE404D" w:rsidRPr="008931E4">
        <w:rPr>
          <w:b/>
        </w:rPr>
        <w:t>human rights-based mental health services and support across the country</w:t>
      </w:r>
      <w:r w:rsidR="00556960" w:rsidRPr="008931E4">
        <w:rPr>
          <w:b/>
          <w:lang w:val="en-US"/>
        </w:rPr>
        <w:t xml:space="preserve">, </w:t>
      </w:r>
      <w:r w:rsidR="00352B0B" w:rsidRPr="008931E4">
        <w:rPr>
          <w:b/>
          <w:lang w:val="en-US"/>
        </w:rPr>
        <w:t>respecting</w:t>
      </w:r>
      <w:r w:rsidR="00556960" w:rsidRPr="008931E4">
        <w:rPr>
          <w:b/>
          <w:lang w:val="en-US"/>
        </w:rPr>
        <w:t xml:space="preserve"> the right to liberty of persons with disabilities, and </w:t>
      </w:r>
      <w:r w:rsidR="00352B0B" w:rsidRPr="008931E4">
        <w:rPr>
          <w:b/>
          <w:lang w:val="en-US"/>
        </w:rPr>
        <w:t>guaranteeing their right</w:t>
      </w:r>
      <w:r w:rsidR="00556960" w:rsidRPr="008931E4">
        <w:rPr>
          <w:b/>
          <w:lang w:val="en-US"/>
        </w:rPr>
        <w:t xml:space="preserve"> to</w:t>
      </w:r>
      <w:r w:rsidR="00352B0B" w:rsidRPr="008931E4">
        <w:rPr>
          <w:b/>
          <w:lang w:val="en-US"/>
        </w:rPr>
        <w:t xml:space="preserve"> decide on their health care, including</w:t>
      </w:r>
      <w:r w:rsidR="00117BE0" w:rsidRPr="008931E4">
        <w:rPr>
          <w:b/>
          <w:lang w:val="en-US"/>
        </w:rPr>
        <w:t xml:space="preserve"> </w:t>
      </w:r>
      <w:r w:rsidR="00556960" w:rsidRPr="008931E4">
        <w:rPr>
          <w:b/>
          <w:lang w:val="en-US"/>
        </w:rPr>
        <w:t xml:space="preserve">in situations of individual </w:t>
      </w:r>
      <w:proofErr w:type="gramStart"/>
      <w:r w:rsidR="00556960" w:rsidRPr="008931E4">
        <w:rPr>
          <w:b/>
          <w:lang w:val="en-US"/>
        </w:rPr>
        <w:t>crisis;</w:t>
      </w:r>
      <w:proofErr w:type="gramEnd"/>
      <w:r w:rsidR="00556960" w:rsidRPr="008931E4">
        <w:rPr>
          <w:b/>
          <w:lang w:val="en-US"/>
        </w:rPr>
        <w:t xml:space="preserve"> </w:t>
      </w:r>
    </w:p>
    <w:p w14:paraId="719535D0" w14:textId="324AFABB" w:rsidR="006F67A9" w:rsidRPr="008931E4" w:rsidRDefault="00415A75" w:rsidP="00415A75">
      <w:pPr>
        <w:pStyle w:val="SingleTxtG"/>
        <w:ind w:firstLine="567"/>
        <w:rPr>
          <w:b/>
        </w:rPr>
      </w:pPr>
      <w:r w:rsidRPr="008931E4">
        <w:rPr>
          <w:b/>
          <w:bCs/>
        </w:rPr>
        <w:t>(</w:t>
      </w:r>
      <w:r w:rsidR="00556960" w:rsidRPr="008931E4">
        <w:rPr>
          <w:b/>
          <w:bCs/>
        </w:rPr>
        <w:t>b</w:t>
      </w:r>
      <w:r w:rsidR="00BF483C" w:rsidRPr="008931E4">
        <w:rPr>
          <w:b/>
          <w:bCs/>
        </w:rPr>
        <w:t>)</w:t>
      </w:r>
      <w:r w:rsidRPr="008931E4">
        <w:rPr>
          <w:b/>
          <w:bCs/>
        </w:rPr>
        <w:tab/>
      </w:r>
      <w:r w:rsidR="00E35542" w:rsidRPr="008931E4">
        <w:rPr>
          <w:b/>
        </w:rPr>
        <w:t>E</w:t>
      </w:r>
      <w:r w:rsidR="00AE404D" w:rsidRPr="008931E4">
        <w:rPr>
          <w:b/>
        </w:rPr>
        <w:t xml:space="preserve">nsure that </w:t>
      </w:r>
      <w:r w:rsidR="00E35542" w:rsidRPr="008931E4">
        <w:rPr>
          <w:b/>
        </w:rPr>
        <w:t>facilities of deprivation of liberty</w:t>
      </w:r>
      <w:r w:rsidR="00AE404D" w:rsidRPr="008931E4">
        <w:rPr>
          <w:b/>
        </w:rPr>
        <w:t xml:space="preserve"> are accessible and that reasonable accommodation is provided</w:t>
      </w:r>
      <w:r w:rsidR="00E35542" w:rsidRPr="008931E4">
        <w:rPr>
          <w:b/>
        </w:rPr>
        <w:t>, and allocate the respective human, technical and financial resources</w:t>
      </w:r>
      <w:r w:rsidR="00AE404D" w:rsidRPr="008931E4">
        <w:rPr>
          <w:b/>
        </w:rPr>
        <w:t xml:space="preserve">. </w:t>
      </w:r>
    </w:p>
    <w:p w14:paraId="1E6AFD57" w14:textId="42B8E8C5" w:rsidR="00847A17" w:rsidRPr="002D30A0" w:rsidRDefault="00B565C6" w:rsidP="00C112CD">
      <w:pPr>
        <w:pStyle w:val="SingleTxtG"/>
        <w:ind w:firstLine="567"/>
        <w:rPr>
          <w:b/>
          <w:bCs/>
        </w:rPr>
      </w:pPr>
      <w:r w:rsidRPr="008931E4">
        <w:rPr>
          <w:b/>
          <w:bCs/>
        </w:rPr>
        <w:t>(c)</w:t>
      </w:r>
      <w:r w:rsidR="00581AEE" w:rsidRPr="00502ECB">
        <w:rPr>
          <w:bCs/>
        </w:rPr>
        <w:tab/>
      </w:r>
      <w:r w:rsidR="0066669F" w:rsidRPr="00502ECB">
        <w:rPr>
          <w:b/>
        </w:rPr>
        <w:t xml:space="preserve">The Committee </w:t>
      </w:r>
      <w:r w:rsidR="00581AEE" w:rsidRPr="00502ECB">
        <w:rPr>
          <w:b/>
        </w:rPr>
        <w:t xml:space="preserve">recommends the </w:t>
      </w:r>
      <w:r w:rsidR="00581AEE" w:rsidRPr="00502ECB">
        <w:rPr>
          <w:b/>
          <w:bCs/>
        </w:rPr>
        <w:t>State party</w:t>
      </w:r>
      <w:r w:rsidR="00E35542" w:rsidRPr="00502ECB">
        <w:rPr>
          <w:b/>
          <w:bCs/>
        </w:rPr>
        <w:t xml:space="preserve">, in the fulfilment of its obligations under the Convention for the Protection of Human Rights and Dignity of the Human Being with regard to the Application of Biology and Medicine (Oviedo Convention), follow the human rights model of </w:t>
      </w:r>
      <w:r w:rsidR="00A65847" w:rsidRPr="00502ECB">
        <w:rPr>
          <w:b/>
          <w:bCs/>
        </w:rPr>
        <w:t>disability</w:t>
      </w:r>
      <w:r w:rsidR="00E35542" w:rsidRPr="00502ECB">
        <w:rPr>
          <w:b/>
          <w:bCs/>
        </w:rPr>
        <w:t xml:space="preserve"> and</w:t>
      </w:r>
      <w:r w:rsidR="00581AEE" w:rsidRPr="00502ECB">
        <w:rPr>
          <w:b/>
          <w:bCs/>
        </w:rPr>
        <w:t xml:space="preserve"> the Committee’s guidelines on the right to liberty and security of persons with disabilities</w:t>
      </w:r>
      <w:r w:rsidR="00581AEE" w:rsidRPr="00502ECB">
        <w:rPr>
          <w:rStyle w:val="FootnoteReference"/>
          <w:b/>
          <w:bCs/>
        </w:rPr>
        <w:footnoteReference w:id="3"/>
      </w:r>
      <w:r w:rsidR="00A44ACB" w:rsidRPr="00502ECB">
        <w:rPr>
          <w:b/>
          <w:bCs/>
        </w:rPr>
        <w:t xml:space="preserve">, and reform its mental health </w:t>
      </w:r>
      <w:proofErr w:type="gramStart"/>
      <w:r w:rsidR="00A44ACB" w:rsidRPr="00502ECB">
        <w:rPr>
          <w:b/>
          <w:bCs/>
        </w:rPr>
        <w:t>services</w:t>
      </w:r>
      <w:proofErr w:type="gramEnd"/>
      <w:r w:rsidR="00A44ACB" w:rsidRPr="00502ECB">
        <w:rPr>
          <w:b/>
          <w:bCs/>
        </w:rPr>
        <w:t xml:space="preserve"> accordingly, including by providing voluntary support measures. </w:t>
      </w:r>
      <w:r w:rsidR="00E202ED">
        <w:rPr>
          <w:b/>
          <w:bCs/>
        </w:rPr>
        <w:t xml:space="preserve">Recognising the Committee’s Joint </w:t>
      </w:r>
      <w:r w:rsidR="00E202ED" w:rsidRPr="00E202ED">
        <w:rPr>
          <w:b/>
          <w:bCs/>
        </w:rPr>
        <w:t xml:space="preserve">Open </w:t>
      </w:r>
      <w:r w:rsidR="00E202ED">
        <w:rPr>
          <w:b/>
          <w:bCs/>
        </w:rPr>
        <w:t xml:space="preserve">letter with the </w:t>
      </w:r>
      <w:r w:rsidR="00E202ED" w:rsidRPr="00E202ED">
        <w:rPr>
          <w:b/>
          <w:bCs/>
        </w:rPr>
        <w:t>Special Rapporteur on the Rights of Persons with D</w:t>
      </w:r>
      <w:r w:rsidR="00E202ED">
        <w:rPr>
          <w:b/>
          <w:bCs/>
        </w:rPr>
        <w:t>i</w:t>
      </w:r>
      <w:r w:rsidR="00E202ED" w:rsidRPr="00E202ED">
        <w:rPr>
          <w:b/>
          <w:bCs/>
        </w:rPr>
        <w:t>sabilities</w:t>
      </w:r>
      <w:r w:rsidR="00E202ED">
        <w:rPr>
          <w:b/>
          <w:bCs/>
        </w:rPr>
        <w:t xml:space="preserve"> of June 2021</w:t>
      </w:r>
      <w:r w:rsidR="004D0A6C">
        <w:rPr>
          <w:rStyle w:val="FootnoteReference"/>
          <w:b/>
          <w:bCs/>
        </w:rPr>
        <w:footnoteReference w:id="4"/>
      </w:r>
      <w:r w:rsidR="00E202ED">
        <w:rPr>
          <w:b/>
          <w:bCs/>
        </w:rPr>
        <w:t>,</w:t>
      </w:r>
      <w:r w:rsidR="00C17A17">
        <w:rPr>
          <w:b/>
          <w:bCs/>
        </w:rPr>
        <w:t xml:space="preserve"> the Committee</w:t>
      </w:r>
      <w:r w:rsidR="00E202ED">
        <w:rPr>
          <w:b/>
          <w:bCs/>
        </w:rPr>
        <w:t xml:space="preserve"> </w:t>
      </w:r>
      <w:r w:rsidRPr="004D281E">
        <w:rPr>
          <w:b/>
          <w:bCs/>
        </w:rPr>
        <w:t xml:space="preserve">also </w:t>
      </w:r>
      <w:r w:rsidR="00A44ACB" w:rsidRPr="004D281E">
        <w:rPr>
          <w:b/>
          <w:bCs/>
        </w:rPr>
        <w:t xml:space="preserve">recommends that the State party’s future participation in </w:t>
      </w:r>
      <w:r w:rsidR="00B57B9B" w:rsidRPr="004D281E">
        <w:rPr>
          <w:b/>
          <w:bCs/>
        </w:rPr>
        <w:t xml:space="preserve">any </w:t>
      </w:r>
      <w:r w:rsidR="00A65847" w:rsidRPr="004D281E">
        <w:rPr>
          <w:b/>
          <w:bCs/>
        </w:rPr>
        <w:t>process</w:t>
      </w:r>
      <w:r w:rsidR="009F0F15" w:rsidRPr="004D281E">
        <w:rPr>
          <w:b/>
          <w:bCs/>
        </w:rPr>
        <w:t xml:space="preserve"> </w:t>
      </w:r>
      <w:r w:rsidR="00A44ACB" w:rsidRPr="004D281E">
        <w:rPr>
          <w:b/>
          <w:bCs/>
        </w:rPr>
        <w:t xml:space="preserve">for an Additional Protocol </w:t>
      </w:r>
      <w:r w:rsidRPr="004D281E">
        <w:rPr>
          <w:b/>
          <w:bCs/>
        </w:rPr>
        <w:t xml:space="preserve">or </w:t>
      </w:r>
      <w:r w:rsidR="009A2326">
        <w:rPr>
          <w:b/>
          <w:bCs/>
        </w:rPr>
        <w:t xml:space="preserve">recommendations </w:t>
      </w:r>
      <w:r w:rsidR="00A44ACB" w:rsidRPr="004D281E">
        <w:rPr>
          <w:b/>
          <w:bCs/>
        </w:rPr>
        <w:t xml:space="preserve">to the Oviedo Convention </w:t>
      </w:r>
      <w:r w:rsidR="009A2326">
        <w:rPr>
          <w:b/>
          <w:bCs/>
        </w:rPr>
        <w:t>aim at</w:t>
      </w:r>
      <w:r w:rsidR="004D281E" w:rsidRPr="004D281E">
        <w:rPr>
          <w:b/>
          <w:bCs/>
        </w:rPr>
        <w:t xml:space="preserve"> moving away from coercive </w:t>
      </w:r>
      <w:r w:rsidR="009A2326">
        <w:rPr>
          <w:b/>
          <w:bCs/>
        </w:rPr>
        <w:t>measures</w:t>
      </w:r>
      <w:r w:rsidR="004D281E" w:rsidRPr="004D281E">
        <w:rPr>
          <w:b/>
          <w:bCs/>
        </w:rPr>
        <w:t xml:space="preserve"> and build up a non-coercive framework </w:t>
      </w:r>
      <w:r w:rsidR="00E202ED">
        <w:rPr>
          <w:b/>
          <w:bCs/>
        </w:rPr>
        <w:t>on</w:t>
      </w:r>
      <w:r w:rsidR="004D281E" w:rsidRPr="004D281E">
        <w:rPr>
          <w:b/>
          <w:bCs/>
        </w:rPr>
        <w:t xml:space="preserve"> mental health, </w:t>
      </w:r>
      <w:r w:rsidR="00E202ED">
        <w:rPr>
          <w:b/>
          <w:bCs/>
        </w:rPr>
        <w:t>as required by</w:t>
      </w:r>
      <w:r w:rsidR="00A44ACB" w:rsidRPr="004D281E">
        <w:rPr>
          <w:b/>
          <w:bCs/>
        </w:rPr>
        <w:t xml:space="preserve"> the C</w:t>
      </w:r>
      <w:r w:rsidR="004D281E" w:rsidRPr="00AD2EC1">
        <w:rPr>
          <w:b/>
          <w:bCs/>
        </w:rPr>
        <w:t>RPD</w:t>
      </w:r>
      <w:r w:rsidR="00A44ACB" w:rsidRPr="004D281E">
        <w:rPr>
          <w:b/>
          <w:bCs/>
        </w:rPr>
        <w:t>.</w:t>
      </w:r>
      <w:r w:rsidR="00655E1D" w:rsidRPr="00502ECB">
        <w:rPr>
          <w:b/>
          <w:bCs/>
        </w:rPr>
        <w:t xml:space="preserve"> </w:t>
      </w:r>
    </w:p>
    <w:p w14:paraId="0D7DE476" w14:textId="4158BAB0" w:rsidR="00FF6CE1" w:rsidRPr="00502ECB" w:rsidRDefault="008931E4" w:rsidP="008931E4">
      <w:pPr>
        <w:pStyle w:val="H23G"/>
      </w:pPr>
      <w:r>
        <w:tab/>
      </w:r>
      <w:r>
        <w:tab/>
      </w:r>
      <w:r w:rsidR="00FF6CE1" w:rsidRPr="00502ECB">
        <w:t xml:space="preserve">Freedom from torture and cruel, </w:t>
      </w:r>
      <w:proofErr w:type="gramStart"/>
      <w:r w:rsidR="00FF6CE1" w:rsidRPr="00502ECB">
        <w:t>inhuman</w:t>
      </w:r>
      <w:proofErr w:type="gramEnd"/>
      <w:r w:rsidR="00FF6CE1" w:rsidRPr="00502ECB">
        <w:t xml:space="preserve"> or degrading treatment or punishment (art. 15)</w:t>
      </w:r>
    </w:p>
    <w:p w14:paraId="31B22FAD" w14:textId="157CA26C" w:rsidR="00FF6CE1" w:rsidRPr="00502ECB" w:rsidRDefault="00FF6CE1" w:rsidP="00FF6CE1">
      <w:pPr>
        <w:pStyle w:val="SingleTxtG"/>
        <w:rPr>
          <w:szCs w:val="24"/>
        </w:rPr>
      </w:pPr>
      <w:r w:rsidRPr="00502ECB">
        <w:rPr>
          <w:szCs w:val="24"/>
        </w:rPr>
        <w:t>31.</w:t>
      </w:r>
      <w:r w:rsidRPr="00502ECB">
        <w:rPr>
          <w:szCs w:val="24"/>
        </w:rPr>
        <w:tab/>
        <w:t xml:space="preserve">The Committee is deeply concerned about: </w:t>
      </w:r>
    </w:p>
    <w:p w14:paraId="1BDBCB27" w14:textId="45D6DBB5" w:rsidR="00FF6CE1" w:rsidRPr="00502ECB" w:rsidRDefault="00FF6CE1" w:rsidP="00D73A1E">
      <w:pPr>
        <w:pStyle w:val="SingleTxtG"/>
        <w:ind w:firstLine="567"/>
        <w:rPr>
          <w:szCs w:val="24"/>
        </w:rPr>
      </w:pPr>
      <w:r w:rsidRPr="00502ECB">
        <w:rPr>
          <w:szCs w:val="24"/>
        </w:rPr>
        <w:tab/>
        <w:t>(a)</w:t>
      </w:r>
      <w:r w:rsidRPr="00502ECB">
        <w:rPr>
          <w:szCs w:val="24"/>
        </w:rPr>
        <w:tab/>
      </w:r>
      <w:r w:rsidR="006F67A9" w:rsidRPr="00502ECB">
        <w:rPr>
          <w:szCs w:val="24"/>
        </w:rPr>
        <w:t>D</w:t>
      </w:r>
      <w:r w:rsidRPr="00502ECB">
        <w:rPr>
          <w:szCs w:val="24"/>
        </w:rPr>
        <w:t xml:space="preserve">omestic legislation allowing forced psychiatric treatment and restrictive measures based on doctors’ </w:t>
      </w:r>
      <w:proofErr w:type="gramStart"/>
      <w:r w:rsidRPr="00502ECB">
        <w:rPr>
          <w:szCs w:val="24"/>
        </w:rPr>
        <w:t>decisions;</w:t>
      </w:r>
      <w:proofErr w:type="gramEnd"/>
      <w:r w:rsidRPr="00502ECB">
        <w:rPr>
          <w:szCs w:val="24"/>
        </w:rPr>
        <w:t xml:space="preserve"> </w:t>
      </w:r>
    </w:p>
    <w:p w14:paraId="5A0D5FB3" w14:textId="2E8D2CEE" w:rsidR="00FF6CE1" w:rsidRPr="00502ECB" w:rsidRDefault="00FF6CE1" w:rsidP="00D73A1E">
      <w:pPr>
        <w:pStyle w:val="SingleTxtG"/>
        <w:ind w:firstLine="567"/>
        <w:rPr>
          <w:szCs w:val="24"/>
        </w:rPr>
      </w:pPr>
      <w:r w:rsidRPr="00502ECB">
        <w:rPr>
          <w:szCs w:val="24"/>
        </w:rPr>
        <w:lastRenderedPageBreak/>
        <w:tab/>
        <w:t>(b)</w:t>
      </w:r>
      <w:r w:rsidRPr="00502ECB">
        <w:rPr>
          <w:szCs w:val="24"/>
        </w:rPr>
        <w:tab/>
      </w:r>
      <w:r w:rsidR="006F67A9" w:rsidRPr="00502ECB">
        <w:rPr>
          <w:szCs w:val="24"/>
        </w:rPr>
        <w:t>Information about</w:t>
      </w:r>
      <w:r w:rsidRPr="00502ECB">
        <w:rPr>
          <w:szCs w:val="24"/>
        </w:rPr>
        <w:t xml:space="preserve"> inhumane or degrading treatment </w:t>
      </w:r>
      <w:r w:rsidR="00A44ACB" w:rsidRPr="00502ECB">
        <w:rPr>
          <w:szCs w:val="24"/>
        </w:rPr>
        <w:t>particularly of</w:t>
      </w:r>
      <w:r w:rsidRPr="00502ECB">
        <w:rPr>
          <w:szCs w:val="24"/>
        </w:rPr>
        <w:t xml:space="preserve"> persons with psychosocial and persons with intellectual disabilities</w:t>
      </w:r>
      <w:r w:rsidR="00A44ACB" w:rsidRPr="00502ECB">
        <w:rPr>
          <w:szCs w:val="24"/>
        </w:rPr>
        <w:t>,</w:t>
      </w:r>
      <w:r w:rsidRPr="00502ECB">
        <w:rPr>
          <w:szCs w:val="24"/>
        </w:rPr>
        <w:t xml:space="preserve"> including </w:t>
      </w:r>
      <w:r w:rsidR="006F67A9" w:rsidRPr="00502ECB">
        <w:rPr>
          <w:szCs w:val="24"/>
        </w:rPr>
        <w:t xml:space="preserve">mechanical and chemical </w:t>
      </w:r>
      <w:r w:rsidRPr="00502ECB">
        <w:rPr>
          <w:szCs w:val="24"/>
        </w:rPr>
        <w:t xml:space="preserve">restraints, isolation, seclusion, </w:t>
      </w:r>
      <w:r w:rsidRPr="00502ECB">
        <w:rPr>
          <w:szCs w:val="24"/>
          <w:lang w:val="en-SG"/>
        </w:rPr>
        <w:t xml:space="preserve">forced </w:t>
      </w:r>
      <w:r w:rsidR="00A44ACB" w:rsidRPr="00502ECB">
        <w:rPr>
          <w:szCs w:val="24"/>
          <w:lang w:val="en-SG"/>
        </w:rPr>
        <w:t>medication</w:t>
      </w:r>
      <w:r w:rsidRPr="00502ECB">
        <w:rPr>
          <w:szCs w:val="24"/>
          <w:lang w:val="en-SG"/>
        </w:rPr>
        <w:t xml:space="preserve">, neglect, physical abuse and sexual violence </w:t>
      </w:r>
      <w:r w:rsidR="00A44ACB" w:rsidRPr="00502ECB">
        <w:rPr>
          <w:szCs w:val="24"/>
          <w:lang w:val="en-SG"/>
        </w:rPr>
        <w:t xml:space="preserve">in </w:t>
      </w:r>
      <w:r w:rsidRPr="00502ECB">
        <w:rPr>
          <w:szCs w:val="24"/>
        </w:rPr>
        <w:t>psychiatric interventions and in institutions</w:t>
      </w:r>
      <w:r w:rsidR="006F67A9" w:rsidRPr="00502ECB">
        <w:rPr>
          <w:szCs w:val="24"/>
        </w:rPr>
        <w:t>.</w:t>
      </w:r>
      <w:r w:rsidRPr="00502ECB">
        <w:rPr>
          <w:szCs w:val="24"/>
        </w:rPr>
        <w:tab/>
      </w:r>
    </w:p>
    <w:p w14:paraId="4E1D2946" w14:textId="16C6E065" w:rsidR="00FF6CE1" w:rsidRPr="00502ECB" w:rsidRDefault="00FF6CE1" w:rsidP="00FF6CE1">
      <w:pPr>
        <w:pStyle w:val="SingleTxtG"/>
        <w:rPr>
          <w:szCs w:val="24"/>
        </w:rPr>
      </w:pPr>
      <w:r w:rsidRPr="00502ECB">
        <w:rPr>
          <w:szCs w:val="24"/>
        </w:rPr>
        <w:t>32.</w:t>
      </w:r>
      <w:r w:rsidRPr="00502ECB">
        <w:rPr>
          <w:szCs w:val="24"/>
        </w:rPr>
        <w:tab/>
      </w:r>
      <w:r w:rsidRPr="00502ECB">
        <w:rPr>
          <w:b/>
          <w:szCs w:val="24"/>
        </w:rPr>
        <w:t>The Committee recommends that the State party:</w:t>
      </w:r>
    </w:p>
    <w:p w14:paraId="4FC534B3" w14:textId="25B73673" w:rsidR="00FF6CE1" w:rsidRPr="00D73A1E" w:rsidRDefault="00FF6CE1" w:rsidP="00D73A1E">
      <w:pPr>
        <w:pStyle w:val="SingleTxtG"/>
        <w:ind w:firstLine="567"/>
        <w:rPr>
          <w:b/>
          <w:bCs/>
          <w:szCs w:val="24"/>
        </w:rPr>
      </w:pPr>
      <w:r w:rsidRPr="00D73A1E">
        <w:rPr>
          <w:b/>
          <w:szCs w:val="24"/>
        </w:rPr>
        <w:tab/>
      </w:r>
      <w:r w:rsidRPr="00D73A1E">
        <w:rPr>
          <w:b/>
          <w:bCs/>
          <w:szCs w:val="24"/>
        </w:rPr>
        <w:t>(a)</w:t>
      </w:r>
      <w:r w:rsidRPr="00D73A1E">
        <w:rPr>
          <w:b/>
          <w:bCs/>
          <w:szCs w:val="24"/>
        </w:rPr>
        <w:tab/>
        <w:t xml:space="preserve">Repeal </w:t>
      </w:r>
      <w:r w:rsidR="00E56B7D" w:rsidRPr="00D73A1E">
        <w:rPr>
          <w:b/>
          <w:bCs/>
          <w:szCs w:val="24"/>
        </w:rPr>
        <w:t xml:space="preserve">all </w:t>
      </w:r>
      <w:r w:rsidRPr="00D73A1E">
        <w:rPr>
          <w:b/>
          <w:bCs/>
          <w:szCs w:val="24"/>
        </w:rPr>
        <w:t>legislation</w:t>
      </w:r>
      <w:r w:rsidR="00E56B7D" w:rsidRPr="00D73A1E">
        <w:rPr>
          <w:b/>
          <w:bCs/>
          <w:szCs w:val="24"/>
        </w:rPr>
        <w:t xml:space="preserve"> permitting forced treatment</w:t>
      </w:r>
      <w:r w:rsidRPr="00D73A1E">
        <w:rPr>
          <w:b/>
          <w:bCs/>
          <w:szCs w:val="24"/>
        </w:rPr>
        <w:t xml:space="preserve">, particularly provisions in the </w:t>
      </w:r>
      <w:r w:rsidR="00E56B7D" w:rsidRPr="00D73A1E">
        <w:rPr>
          <w:b/>
          <w:bCs/>
          <w:szCs w:val="24"/>
        </w:rPr>
        <w:t>L</w:t>
      </w:r>
      <w:r w:rsidRPr="00D73A1E">
        <w:rPr>
          <w:b/>
          <w:bCs/>
          <w:szCs w:val="24"/>
        </w:rPr>
        <w:t xml:space="preserve">aw on </w:t>
      </w:r>
      <w:r w:rsidR="00E56B7D" w:rsidRPr="00D73A1E">
        <w:rPr>
          <w:b/>
          <w:bCs/>
          <w:szCs w:val="24"/>
        </w:rPr>
        <w:t>M</w:t>
      </w:r>
      <w:r w:rsidRPr="00D73A1E">
        <w:rPr>
          <w:b/>
          <w:bCs/>
          <w:szCs w:val="24"/>
        </w:rPr>
        <w:t xml:space="preserve">ental </w:t>
      </w:r>
      <w:r w:rsidR="00E56B7D" w:rsidRPr="00D73A1E">
        <w:rPr>
          <w:b/>
          <w:bCs/>
          <w:szCs w:val="24"/>
        </w:rPr>
        <w:t>H</w:t>
      </w:r>
      <w:r w:rsidRPr="00D73A1E">
        <w:rPr>
          <w:b/>
          <w:bCs/>
          <w:szCs w:val="24"/>
        </w:rPr>
        <w:t>ealth</w:t>
      </w:r>
      <w:r w:rsidR="00E56B7D" w:rsidRPr="00D73A1E">
        <w:rPr>
          <w:b/>
          <w:bCs/>
          <w:szCs w:val="24"/>
        </w:rPr>
        <w:t>,</w:t>
      </w:r>
      <w:r w:rsidRPr="00D73A1E">
        <w:rPr>
          <w:b/>
          <w:bCs/>
          <w:szCs w:val="24"/>
        </w:rPr>
        <w:t xml:space="preserve"> prohibit forced treatment</w:t>
      </w:r>
      <w:r w:rsidR="00934244" w:rsidRPr="00D73A1E">
        <w:rPr>
          <w:b/>
          <w:bCs/>
          <w:szCs w:val="24"/>
        </w:rPr>
        <w:t>,</w:t>
      </w:r>
      <w:r w:rsidRPr="00D73A1E">
        <w:rPr>
          <w:b/>
          <w:bCs/>
          <w:szCs w:val="24"/>
        </w:rPr>
        <w:t xml:space="preserve"> and establish measures to enable persons with disabilities to oppose </w:t>
      </w:r>
      <w:r w:rsidR="00934244" w:rsidRPr="00D73A1E">
        <w:rPr>
          <w:b/>
          <w:bCs/>
          <w:szCs w:val="24"/>
        </w:rPr>
        <w:t>medical, including mental health,</w:t>
      </w:r>
      <w:r w:rsidRPr="00D73A1E">
        <w:rPr>
          <w:b/>
          <w:bCs/>
          <w:szCs w:val="24"/>
        </w:rPr>
        <w:t xml:space="preserve"> </w:t>
      </w:r>
      <w:proofErr w:type="gramStart"/>
      <w:r w:rsidRPr="00D73A1E">
        <w:rPr>
          <w:b/>
          <w:bCs/>
          <w:szCs w:val="24"/>
        </w:rPr>
        <w:t>treatment;</w:t>
      </w:r>
      <w:proofErr w:type="gramEnd"/>
    </w:p>
    <w:p w14:paraId="5B83A1CC" w14:textId="4008CAB5" w:rsidR="00FF6CE1" w:rsidRPr="00D73A1E" w:rsidRDefault="00FF6CE1" w:rsidP="00D73A1E">
      <w:pPr>
        <w:pStyle w:val="SingleTxtG"/>
        <w:ind w:firstLine="567"/>
        <w:rPr>
          <w:b/>
          <w:bCs/>
          <w:szCs w:val="24"/>
        </w:rPr>
      </w:pPr>
      <w:r w:rsidRPr="00D73A1E">
        <w:rPr>
          <w:b/>
          <w:bCs/>
          <w:szCs w:val="24"/>
        </w:rPr>
        <w:tab/>
        <w:t>(b)</w:t>
      </w:r>
      <w:r w:rsidRPr="00D73A1E">
        <w:rPr>
          <w:b/>
          <w:bCs/>
          <w:szCs w:val="24"/>
        </w:rPr>
        <w:tab/>
      </w:r>
      <w:r w:rsidRPr="00D73A1E">
        <w:rPr>
          <w:b/>
          <w:szCs w:val="24"/>
        </w:rPr>
        <w:t xml:space="preserve">Adopt </w:t>
      </w:r>
      <w:r w:rsidRPr="00D73A1E">
        <w:rPr>
          <w:b/>
          <w:bCs/>
          <w:szCs w:val="24"/>
        </w:rPr>
        <w:t xml:space="preserve">measures to prevent and prohibit torture </w:t>
      </w:r>
      <w:r w:rsidR="00934244" w:rsidRPr="00D73A1E">
        <w:rPr>
          <w:b/>
          <w:bCs/>
          <w:szCs w:val="24"/>
        </w:rPr>
        <w:t xml:space="preserve">or cruel, </w:t>
      </w:r>
      <w:r w:rsidRPr="00D73A1E">
        <w:rPr>
          <w:b/>
          <w:bCs/>
          <w:szCs w:val="24"/>
        </w:rPr>
        <w:t>inhuman or degrading treatment of persons with disabilities,</w:t>
      </w:r>
      <w:r w:rsidR="00934244" w:rsidRPr="00D73A1E">
        <w:rPr>
          <w:b/>
          <w:bCs/>
          <w:szCs w:val="24"/>
        </w:rPr>
        <w:t xml:space="preserve"> including involuntary medical treatment,</w:t>
      </w:r>
      <w:r w:rsidRPr="00D73A1E">
        <w:rPr>
          <w:b/>
          <w:bCs/>
          <w:szCs w:val="24"/>
        </w:rPr>
        <w:t xml:space="preserve"> establish a complaints mechanism accessible </w:t>
      </w:r>
      <w:r w:rsidR="00934244" w:rsidRPr="00D73A1E">
        <w:rPr>
          <w:b/>
          <w:bCs/>
          <w:szCs w:val="24"/>
        </w:rPr>
        <w:t xml:space="preserve">to </w:t>
      </w:r>
      <w:r w:rsidRPr="00D73A1E">
        <w:rPr>
          <w:b/>
          <w:bCs/>
          <w:szCs w:val="24"/>
        </w:rPr>
        <w:t>persons with disabilities in all institutional settings</w:t>
      </w:r>
      <w:r w:rsidR="00934244" w:rsidRPr="00D73A1E">
        <w:rPr>
          <w:b/>
          <w:bCs/>
          <w:szCs w:val="24"/>
        </w:rPr>
        <w:t>,</w:t>
      </w:r>
      <w:r w:rsidRPr="00D73A1E">
        <w:rPr>
          <w:b/>
          <w:bCs/>
          <w:szCs w:val="24"/>
        </w:rPr>
        <w:t xml:space="preserve"> and </w:t>
      </w:r>
      <w:r w:rsidR="00934244" w:rsidRPr="00D73A1E">
        <w:rPr>
          <w:b/>
          <w:bCs/>
          <w:szCs w:val="24"/>
        </w:rPr>
        <w:t xml:space="preserve">provide </w:t>
      </w:r>
      <w:r w:rsidRPr="00D73A1E">
        <w:rPr>
          <w:b/>
          <w:bCs/>
          <w:szCs w:val="24"/>
        </w:rPr>
        <w:t xml:space="preserve">legal remedies and </w:t>
      </w:r>
      <w:proofErr w:type="gramStart"/>
      <w:r w:rsidRPr="00D73A1E">
        <w:rPr>
          <w:b/>
          <w:bCs/>
          <w:szCs w:val="24"/>
        </w:rPr>
        <w:t>redress;</w:t>
      </w:r>
      <w:proofErr w:type="gramEnd"/>
    </w:p>
    <w:p w14:paraId="0C48836D" w14:textId="257FF9E7" w:rsidR="00993449" w:rsidRPr="00502ECB" w:rsidRDefault="00FF6CE1" w:rsidP="00D73A1E">
      <w:pPr>
        <w:pStyle w:val="SingleTxtG"/>
        <w:ind w:firstLine="567"/>
        <w:rPr>
          <w:b/>
          <w:szCs w:val="24"/>
        </w:rPr>
      </w:pPr>
      <w:r w:rsidRPr="00D73A1E">
        <w:rPr>
          <w:b/>
          <w:szCs w:val="24"/>
        </w:rPr>
        <w:tab/>
      </w:r>
      <w:r w:rsidRPr="00D73A1E">
        <w:rPr>
          <w:b/>
          <w:bCs/>
          <w:szCs w:val="24"/>
        </w:rPr>
        <w:t>(c)</w:t>
      </w:r>
      <w:r w:rsidRPr="00D73A1E">
        <w:rPr>
          <w:b/>
          <w:szCs w:val="24"/>
        </w:rPr>
        <w:tab/>
      </w:r>
      <w:r w:rsidRPr="00502ECB">
        <w:rPr>
          <w:b/>
          <w:szCs w:val="24"/>
        </w:rPr>
        <w:t>Adopt measures to ensure that acts of torture</w:t>
      </w:r>
      <w:r w:rsidR="00934244" w:rsidRPr="00502ECB">
        <w:rPr>
          <w:b/>
          <w:szCs w:val="24"/>
        </w:rPr>
        <w:t xml:space="preserve"> or cruel, </w:t>
      </w:r>
      <w:proofErr w:type="gramStart"/>
      <w:r w:rsidR="00934244" w:rsidRPr="00502ECB">
        <w:rPr>
          <w:b/>
          <w:szCs w:val="24"/>
        </w:rPr>
        <w:t>inhuman</w:t>
      </w:r>
      <w:proofErr w:type="gramEnd"/>
      <w:r w:rsidR="00934244" w:rsidRPr="00502ECB">
        <w:rPr>
          <w:b/>
          <w:szCs w:val="24"/>
        </w:rPr>
        <w:t xml:space="preserve"> or degrading treatment, including involuntary medical treatment, of</w:t>
      </w:r>
      <w:r w:rsidRPr="00502ECB">
        <w:rPr>
          <w:b/>
          <w:szCs w:val="24"/>
        </w:rPr>
        <w:t xml:space="preserve"> persons with disabilities are investigated and, where appropriate, perpetrators are prosecuted.</w:t>
      </w:r>
    </w:p>
    <w:p w14:paraId="7542278E" w14:textId="17C3B8F7" w:rsidR="00724261" w:rsidRPr="00502ECB" w:rsidRDefault="008931E4" w:rsidP="008931E4">
      <w:pPr>
        <w:pStyle w:val="H23G"/>
      </w:pPr>
      <w:r>
        <w:tab/>
      </w:r>
      <w:r>
        <w:tab/>
      </w:r>
      <w:r w:rsidR="00724261" w:rsidRPr="00502ECB">
        <w:t xml:space="preserve">Freedom from exploitation, </w:t>
      </w:r>
      <w:proofErr w:type="gramStart"/>
      <w:r w:rsidR="00724261" w:rsidRPr="00502ECB">
        <w:t>violence</w:t>
      </w:r>
      <w:proofErr w:type="gramEnd"/>
      <w:r w:rsidR="00724261" w:rsidRPr="00502ECB">
        <w:t xml:space="preserve"> and abuse (art</w:t>
      </w:r>
      <w:r w:rsidR="00204067" w:rsidRPr="00502ECB">
        <w:t>.</w:t>
      </w:r>
      <w:r w:rsidR="00724261" w:rsidRPr="00502ECB">
        <w:t xml:space="preserve"> 16)</w:t>
      </w:r>
    </w:p>
    <w:p w14:paraId="05F467C7" w14:textId="0967C356" w:rsidR="00724261" w:rsidRPr="00502ECB" w:rsidRDefault="00724261" w:rsidP="00724261">
      <w:pPr>
        <w:pStyle w:val="SingleTxtG"/>
        <w:rPr>
          <w:szCs w:val="24"/>
        </w:rPr>
      </w:pPr>
      <w:r w:rsidRPr="00502ECB">
        <w:rPr>
          <w:szCs w:val="24"/>
        </w:rPr>
        <w:t>33.</w:t>
      </w:r>
      <w:r w:rsidRPr="00502ECB">
        <w:rPr>
          <w:b/>
          <w:bCs/>
          <w:szCs w:val="24"/>
        </w:rPr>
        <w:tab/>
      </w:r>
      <w:r w:rsidRPr="00502ECB">
        <w:rPr>
          <w:szCs w:val="24"/>
        </w:rPr>
        <w:t>The Committee is concerned about:</w:t>
      </w:r>
    </w:p>
    <w:p w14:paraId="6470BBF2" w14:textId="05B21DFD" w:rsidR="00724261" w:rsidRPr="00502ECB" w:rsidRDefault="00724261" w:rsidP="00724261">
      <w:pPr>
        <w:pStyle w:val="SingleTxtG"/>
        <w:ind w:firstLine="567"/>
        <w:rPr>
          <w:szCs w:val="24"/>
        </w:rPr>
      </w:pPr>
      <w:r w:rsidRPr="00502ECB">
        <w:rPr>
          <w:szCs w:val="24"/>
        </w:rPr>
        <w:t>(a)</w:t>
      </w:r>
      <w:r w:rsidRPr="00502ECB">
        <w:rPr>
          <w:szCs w:val="24"/>
        </w:rPr>
        <w:tab/>
        <w:t>Th</w:t>
      </w:r>
      <w:r w:rsidR="00D00BC3" w:rsidRPr="00502ECB">
        <w:rPr>
          <w:szCs w:val="24"/>
        </w:rPr>
        <w:t xml:space="preserve">e absence of specific frameworks to prevent and address </w:t>
      </w:r>
      <w:r w:rsidRPr="00502ECB">
        <w:rPr>
          <w:szCs w:val="24"/>
        </w:rPr>
        <w:t>gender-based violence against women with disabilities</w:t>
      </w:r>
      <w:r w:rsidR="00D00BC3" w:rsidRPr="00502ECB">
        <w:rPr>
          <w:szCs w:val="24"/>
        </w:rPr>
        <w:t xml:space="preserve">, including different forms of abuse and </w:t>
      </w:r>
      <w:proofErr w:type="gramStart"/>
      <w:r w:rsidR="00D00BC3" w:rsidRPr="00502ECB">
        <w:rPr>
          <w:szCs w:val="24"/>
        </w:rPr>
        <w:t>harassment;</w:t>
      </w:r>
      <w:proofErr w:type="gramEnd"/>
      <w:r w:rsidR="00D00BC3" w:rsidRPr="00502ECB">
        <w:t xml:space="preserve"> </w:t>
      </w:r>
    </w:p>
    <w:p w14:paraId="2FDD84D1" w14:textId="174F6E62" w:rsidR="00741F26" w:rsidRPr="00502ECB" w:rsidRDefault="00724261" w:rsidP="00724261">
      <w:pPr>
        <w:pStyle w:val="SingleTxtG"/>
        <w:ind w:firstLine="567"/>
        <w:rPr>
          <w:szCs w:val="24"/>
          <w:u w:val="single"/>
        </w:rPr>
      </w:pPr>
      <w:r w:rsidRPr="00502ECB">
        <w:rPr>
          <w:szCs w:val="24"/>
        </w:rPr>
        <w:t>(b)</w:t>
      </w:r>
      <w:r w:rsidRPr="00502ECB">
        <w:rPr>
          <w:szCs w:val="24"/>
        </w:rPr>
        <w:tab/>
      </w:r>
      <w:r w:rsidR="00741F26" w:rsidRPr="00502ECB">
        <w:rPr>
          <w:szCs w:val="24"/>
        </w:rPr>
        <w:t xml:space="preserve">Limited scope of actions to </w:t>
      </w:r>
      <w:r w:rsidR="00741F26" w:rsidRPr="002D30A0">
        <w:rPr>
          <w:szCs w:val="24"/>
        </w:rPr>
        <w:t>detect cases of gender-based violence against women, particularly sexual violence and affecting women with</w:t>
      </w:r>
      <w:r w:rsidR="00FE2445">
        <w:rPr>
          <w:szCs w:val="24"/>
        </w:rPr>
        <w:t xml:space="preserve"> intellectual disabilities and women with</w:t>
      </w:r>
      <w:r w:rsidR="00741F26" w:rsidRPr="002D30A0">
        <w:rPr>
          <w:szCs w:val="24"/>
        </w:rPr>
        <w:t xml:space="preserve"> psychosocial </w:t>
      </w:r>
      <w:proofErr w:type="gramStart"/>
      <w:r w:rsidR="00741F26" w:rsidRPr="002D30A0">
        <w:rPr>
          <w:szCs w:val="24"/>
        </w:rPr>
        <w:t>disabilities;</w:t>
      </w:r>
      <w:proofErr w:type="gramEnd"/>
    </w:p>
    <w:p w14:paraId="7656BE24" w14:textId="128D2BDA" w:rsidR="00724261" w:rsidRPr="00502ECB" w:rsidRDefault="00741F26" w:rsidP="00724261">
      <w:pPr>
        <w:pStyle w:val="SingleTxtG"/>
        <w:ind w:firstLine="567"/>
        <w:rPr>
          <w:szCs w:val="24"/>
        </w:rPr>
      </w:pPr>
      <w:r w:rsidRPr="00502ECB">
        <w:rPr>
          <w:szCs w:val="24"/>
        </w:rPr>
        <w:t>(c)</w:t>
      </w:r>
      <w:r w:rsidRPr="00502ECB">
        <w:rPr>
          <w:szCs w:val="24"/>
        </w:rPr>
        <w:tab/>
        <w:t>I</w:t>
      </w:r>
      <w:r w:rsidR="00724261" w:rsidRPr="00502ECB">
        <w:rPr>
          <w:szCs w:val="24"/>
        </w:rPr>
        <w:t xml:space="preserve">nsufficient </w:t>
      </w:r>
      <w:r w:rsidR="00D00BC3" w:rsidRPr="00502ECB">
        <w:rPr>
          <w:szCs w:val="24"/>
        </w:rPr>
        <w:t xml:space="preserve">referral programmes and </w:t>
      </w:r>
      <w:r w:rsidR="00724261" w:rsidRPr="00502ECB">
        <w:rPr>
          <w:szCs w:val="24"/>
        </w:rPr>
        <w:t xml:space="preserve">measures </w:t>
      </w:r>
      <w:r w:rsidR="00D00BC3" w:rsidRPr="00502ECB">
        <w:rPr>
          <w:szCs w:val="24"/>
        </w:rPr>
        <w:t xml:space="preserve">to provide persons with disabilities who have been exposed to violence with </w:t>
      </w:r>
      <w:r w:rsidR="00724261" w:rsidRPr="00502ECB">
        <w:rPr>
          <w:szCs w:val="24"/>
        </w:rPr>
        <w:t>access to physical and psycho</w:t>
      </w:r>
      <w:r w:rsidR="00D00BC3" w:rsidRPr="00502ECB">
        <w:rPr>
          <w:szCs w:val="24"/>
        </w:rPr>
        <w:t xml:space="preserve">social </w:t>
      </w:r>
      <w:proofErr w:type="gramStart"/>
      <w:r w:rsidR="00724261" w:rsidRPr="00502ECB">
        <w:rPr>
          <w:szCs w:val="24"/>
        </w:rPr>
        <w:t>rehabilitation;</w:t>
      </w:r>
      <w:proofErr w:type="gramEnd"/>
    </w:p>
    <w:p w14:paraId="7D6B18A6" w14:textId="18E8B618" w:rsidR="00724261" w:rsidRPr="00502ECB" w:rsidRDefault="00724261" w:rsidP="00724261">
      <w:pPr>
        <w:pStyle w:val="SingleTxtG"/>
        <w:ind w:firstLine="567"/>
        <w:rPr>
          <w:lang w:val="en-US"/>
        </w:rPr>
      </w:pPr>
      <w:r w:rsidRPr="00502ECB">
        <w:rPr>
          <w:bCs/>
        </w:rPr>
        <w:t>(</w:t>
      </w:r>
      <w:r w:rsidR="00741F26" w:rsidRPr="00502ECB">
        <w:rPr>
          <w:bCs/>
        </w:rPr>
        <w:t>d</w:t>
      </w:r>
      <w:r w:rsidRPr="00502ECB">
        <w:rPr>
          <w:bCs/>
        </w:rPr>
        <w:t>)</w:t>
      </w:r>
      <w:r w:rsidRPr="00502ECB">
        <w:rPr>
          <w:bCs/>
        </w:rPr>
        <w:tab/>
        <w:t xml:space="preserve">Reports of </w:t>
      </w:r>
      <w:r w:rsidRPr="00502ECB">
        <w:rPr>
          <w:lang w:val="en-US"/>
        </w:rPr>
        <w:t>corporal punishment, abuse and domestic violence particularly affecting children with disabilities</w:t>
      </w:r>
      <w:r w:rsidR="00D00BC3" w:rsidRPr="00502ECB">
        <w:rPr>
          <w:lang w:val="en-US"/>
        </w:rPr>
        <w:t xml:space="preserve"> in rural areas and </w:t>
      </w:r>
      <w:r w:rsidR="00F33918" w:rsidRPr="00502ECB">
        <w:rPr>
          <w:lang w:val="en-US"/>
        </w:rPr>
        <w:t xml:space="preserve">autistic </w:t>
      </w:r>
      <w:r w:rsidR="00D00BC3" w:rsidRPr="00502ECB">
        <w:rPr>
          <w:lang w:val="en-US"/>
        </w:rPr>
        <w:t xml:space="preserve">children. </w:t>
      </w:r>
      <w:r w:rsidRPr="00502ECB">
        <w:rPr>
          <w:lang w:val="en-US"/>
        </w:rPr>
        <w:t xml:space="preserve">  </w:t>
      </w:r>
    </w:p>
    <w:p w14:paraId="06FDA597" w14:textId="573D3FF1" w:rsidR="00724261" w:rsidRPr="00502ECB" w:rsidRDefault="00724261" w:rsidP="00724261">
      <w:pPr>
        <w:pStyle w:val="SingleTxtG"/>
        <w:rPr>
          <w:bCs/>
        </w:rPr>
      </w:pPr>
      <w:r w:rsidRPr="00502ECB">
        <w:t>3</w:t>
      </w:r>
      <w:r w:rsidR="00D73A1E">
        <w:t>4</w:t>
      </w:r>
      <w:r w:rsidRPr="00502ECB">
        <w:t>.</w:t>
      </w:r>
      <w:r w:rsidRPr="00502ECB">
        <w:tab/>
      </w:r>
      <w:r w:rsidRPr="00502ECB">
        <w:rPr>
          <w:b/>
        </w:rPr>
        <w:t xml:space="preserve">With reference to the Committee’s statement issued on 24 November 2021 calling for action to be taken to eliminate gender-based violence against women and girls with disabilities, and recalling targets 5.1, 5.2 and 5.5 </w:t>
      </w:r>
      <w:r w:rsidRPr="00502ECB">
        <w:rPr>
          <w:b/>
          <w:bCs/>
        </w:rPr>
        <w:t xml:space="preserve">of the Sustainable Development Goals, the Committee </w:t>
      </w:r>
      <w:r w:rsidRPr="00502ECB">
        <w:rPr>
          <w:b/>
        </w:rPr>
        <w:t>recommends that the State party:</w:t>
      </w:r>
    </w:p>
    <w:p w14:paraId="7E6DCD81" w14:textId="120F31AD" w:rsidR="006956F8" w:rsidRPr="00D73A1E" w:rsidRDefault="00724261" w:rsidP="00D73A1E">
      <w:pPr>
        <w:pStyle w:val="SingleTxtG"/>
        <w:ind w:firstLine="567"/>
        <w:rPr>
          <w:b/>
          <w:bCs/>
        </w:rPr>
      </w:pPr>
      <w:r w:rsidRPr="00D73A1E">
        <w:rPr>
          <w:b/>
        </w:rPr>
        <w:tab/>
      </w:r>
      <w:r w:rsidRPr="00D73A1E">
        <w:rPr>
          <w:b/>
          <w:bCs/>
        </w:rPr>
        <w:t>(a)</w:t>
      </w:r>
      <w:r w:rsidRPr="00D73A1E">
        <w:rPr>
          <w:b/>
        </w:rPr>
        <w:tab/>
      </w:r>
      <w:r w:rsidR="00EE7AB7" w:rsidRPr="00D73A1E">
        <w:rPr>
          <w:rFonts w:eastAsia="Calibri"/>
          <w:b/>
          <w:lang w:val="en-US"/>
        </w:rPr>
        <w:t>Adopt a strategy for guaranteeing women and girls with disabilities</w:t>
      </w:r>
      <w:r w:rsidR="006956F8" w:rsidRPr="00D73A1E">
        <w:rPr>
          <w:rFonts w:eastAsia="Calibri"/>
          <w:b/>
          <w:lang w:val="en-US"/>
        </w:rPr>
        <w:t>’</w:t>
      </w:r>
      <w:r w:rsidR="00EE7AB7" w:rsidRPr="00D73A1E">
        <w:rPr>
          <w:rFonts w:eastAsia="Calibri"/>
          <w:b/>
          <w:lang w:val="en-US"/>
        </w:rPr>
        <w:t xml:space="preserve"> protection against all forms of </w:t>
      </w:r>
      <w:r w:rsidR="00FE2445" w:rsidRPr="00D73A1E">
        <w:rPr>
          <w:rFonts w:eastAsia="Calibri"/>
          <w:b/>
          <w:lang w:val="en-US"/>
        </w:rPr>
        <w:t xml:space="preserve">gender-based </w:t>
      </w:r>
      <w:r w:rsidR="00EE7AB7" w:rsidRPr="00D73A1E">
        <w:rPr>
          <w:b/>
        </w:rPr>
        <w:t>violence, exploitation and abuse</w:t>
      </w:r>
      <w:r w:rsidR="00EE7AB7" w:rsidRPr="00D73A1E">
        <w:rPr>
          <w:rFonts w:eastAsia="Calibri"/>
          <w:b/>
          <w:lang w:val="en-US"/>
        </w:rPr>
        <w:t xml:space="preserve">, </w:t>
      </w:r>
      <w:r w:rsidR="006956F8" w:rsidRPr="00D73A1E">
        <w:rPr>
          <w:rFonts w:eastAsia="Calibri"/>
          <w:b/>
          <w:lang w:val="en-US"/>
        </w:rPr>
        <w:t xml:space="preserve">in consultation with organizations of persons with disabilities, </w:t>
      </w:r>
      <w:r w:rsidR="00EE7AB7" w:rsidRPr="00D73A1E">
        <w:rPr>
          <w:rFonts w:eastAsia="Calibri"/>
          <w:b/>
          <w:lang w:val="en-US"/>
        </w:rPr>
        <w:t xml:space="preserve">particularly </w:t>
      </w:r>
      <w:r w:rsidR="006956F8" w:rsidRPr="00D73A1E">
        <w:rPr>
          <w:rFonts w:eastAsia="Calibri"/>
          <w:b/>
          <w:lang w:val="en-US"/>
        </w:rPr>
        <w:t xml:space="preserve">organizations of </w:t>
      </w:r>
      <w:r w:rsidR="00EE7AB7" w:rsidRPr="00D73A1E">
        <w:rPr>
          <w:b/>
        </w:rPr>
        <w:t>women and girls</w:t>
      </w:r>
      <w:r w:rsidR="006956F8" w:rsidRPr="00D73A1E">
        <w:rPr>
          <w:b/>
        </w:rPr>
        <w:t xml:space="preserve"> with </w:t>
      </w:r>
      <w:proofErr w:type="gramStart"/>
      <w:r w:rsidR="006956F8" w:rsidRPr="00D73A1E">
        <w:rPr>
          <w:b/>
        </w:rPr>
        <w:t>disabilities</w:t>
      </w:r>
      <w:r w:rsidR="00EE7AB7" w:rsidRPr="00D73A1E">
        <w:rPr>
          <w:rFonts w:eastAsia="Calibri"/>
          <w:b/>
          <w:bCs/>
          <w:lang w:val="en-US"/>
        </w:rPr>
        <w:t>;</w:t>
      </w:r>
      <w:proofErr w:type="gramEnd"/>
      <w:r w:rsidR="00E52C38" w:rsidRPr="00D73A1E">
        <w:rPr>
          <w:b/>
          <w:bCs/>
        </w:rPr>
        <w:t xml:space="preserve"> </w:t>
      </w:r>
    </w:p>
    <w:p w14:paraId="4D8B410C" w14:textId="54922336" w:rsidR="00741F26" w:rsidRPr="00D73A1E" w:rsidRDefault="006956F8" w:rsidP="00204067">
      <w:pPr>
        <w:pStyle w:val="SingleTxtG"/>
        <w:ind w:firstLine="567"/>
        <w:rPr>
          <w:b/>
          <w:bCs/>
        </w:rPr>
      </w:pPr>
      <w:r w:rsidRPr="00D73A1E">
        <w:rPr>
          <w:b/>
          <w:bCs/>
        </w:rPr>
        <w:t>(b)</w:t>
      </w:r>
      <w:r w:rsidRPr="00D73A1E">
        <w:rPr>
          <w:b/>
          <w:bCs/>
        </w:rPr>
        <w:tab/>
      </w:r>
      <w:r w:rsidR="0051576D" w:rsidRPr="00D73A1E">
        <w:rPr>
          <w:b/>
        </w:rPr>
        <w:t>Disseminate accessible information among women with disabilities</w:t>
      </w:r>
      <w:r w:rsidR="00FE2445" w:rsidRPr="00D73A1E">
        <w:rPr>
          <w:b/>
        </w:rPr>
        <w:t>, including women with intellectual disabilities and women with psychosocial disabilities,</w:t>
      </w:r>
      <w:r w:rsidR="00162986" w:rsidRPr="00D73A1E">
        <w:rPr>
          <w:b/>
        </w:rPr>
        <w:t xml:space="preserve"> about different forms of gender-based violence, including sexual violence, and their right to be free from these forms of violence, and about complaint procedures </w:t>
      </w:r>
      <w:r w:rsidR="0051576D" w:rsidRPr="00D73A1E">
        <w:rPr>
          <w:b/>
        </w:rPr>
        <w:t>concerning</w:t>
      </w:r>
      <w:r w:rsidR="00405895" w:rsidRPr="00D73A1E">
        <w:rPr>
          <w:b/>
        </w:rPr>
        <w:t xml:space="preserve"> gender-based </w:t>
      </w:r>
      <w:proofErr w:type="gramStart"/>
      <w:r w:rsidR="00405895" w:rsidRPr="00D73A1E">
        <w:rPr>
          <w:b/>
        </w:rPr>
        <w:t>violence</w:t>
      </w:r>
      <w:r w:rsidR="0051576D" w:rsidRPr="00D73A1E">
        <w:rPr>
          <w:b/>
          <w:bCs/>
        </w:rPr>
        <w:t>;</w:t>
      </w:r>
      <w:proofErr w:type="gramEnd"/>
    </w:p>
    <w:p w14:paraId="064F3E17" w14:textId="5107F1D8" w:rsidR="00204067" w:rsidRPr="00502ECB" w:rsidRDefault="00741F26" w:rsidP="00204067">
      <w:pPr>
        <w:pStyle w:val="SingleTxtG"/>
        <w:ind w:firstLine="567"/>
        <w:rPr>
          <w:b/>
        </w:rPr>
      </w:pPr>
      <w:r w:rsidRPr="00D73A1E">
        <w:rPr>
          <w:b/>
          <w:bCs/>
        </w:rPr>
        <w:t>(c)</w:t>
      </w:r>
      <w:r w:rsidRPr="00502ECB">
        <w:rPr>
          <w:bCs/>
        </w:rPr>
        <w:tab/>
      </w:r>
      <w:r w:rsidR="00204067" w:rsidRPr="00502ECB">
        <w:rPr>
          <w:b/>
        </w:rPr>
        <w:t>Ensure that referral programmes and psychosocial support are available and accessible for women with disabilities</w:t>
      </w:r>
      <w:r w:rsidR="00F33918" w:rsidRPr="00502ECB">
        <w:rPr>
          <w:b/>
        </w:rPr>
        <w:t xml:space="preserve"> who are</w:t>
      </w:r>
      <w:r w:rsidR="00204067" w:rsidRPr="00502ECB">
        <w:rPr>
          <w:b/>
        </w:rPr>
        <w:t xml:space="preserve"> victims of gender-based violence. The</w:t>
      </w:r>
      <w:r w:rsidR="00F33918" w:rsidRPr="00502ECB">
        <w:rPr>
          <w:b/>
        </w:rPr>
        <w:t xml:space="preserve"> Committee recommends the</w:t>
      </w:r>
      <w:r w:rsidR="00204067" w:rsidRPr="00502ECB">
        <w:rPr>
          <w:b/>
        </w:rPr>
        <w:t xml:space="preserve"> State party </w:t>
      </w:r>
      <w:r w:rsidR="00204067" w:rsidRPr="00502ECB">
        <w:rPr>
          <w:rFonts w:eastAsia="Calibri"/>
          <w:b/>
        </w:rPr>
        <w:t xml:space="preserve">address the situation of women and girls with disabilities in implementing the recommendations issued by the </w:t>
      </w:r>
      <w:r w:rsidR="00204067" w:rsidRPr="00502ECB">
        <w:rPr>
          <w:rFonts w:eastAsia="Calibri"/>
          <w:b/>
          <w:lang w:val="en-US"/>
        </w:rPr>
        <w:t xml:space="preserve">Committee </w:t>
      </w:r>
      <w:r w:rsidR="00204067" w:rsidRPr="00502ECB">
        <w:rPr>
          <w:rFonts w:eastAsia="Calibri"/>
          <w:b/>
        </w:rPr>
        <w:t>on the Elimination of Discrimination Against Women in its concluding observations to Georgia (CEDAW/C/GEO/6)</w:t>
      </w:r>
      <w:r w:rsidR="00204067" w:rsidRPr="00502ECB">
        <w:rPr>
          <w:b/>
        </w:rPr>
        <w:t xml:space="preserve"> concerning gender-based violence against </w:t>
      </w:r>
      <w:proofErr w:type="gramStart"/>
      <w:r w:rsidR="00204067" w:rsidRPr="00502ECB">
        <w:rPr>
          <w:b/>
        </w:rPr>
        <w:t>women;</w:t>
      </w:r>
      <w:proofErr w:type="gramEnd"/>
      <w:r w:rsidR="00204067" w:rsidRPr="00502ECB">
        <w:rPr>
          <w:b/>
        </w:rPr>
        <w:t xml:space="preserve"> </w:t>
      </w:r>
      <w:r w:rsidR="00E52C38" w:rsidRPr="00502ECB">
        <w:rPr>
          <w:b/>
        </w:rPr>
        <w:t xml:space="preserve"> </w:t>
      </w:r>
    </w:p>
    <w:p w14:paraId="69D8C92E" w14:textId="587987DC" w:rsidR="00945423" w:rsidRPr="00502ECB" w:rsidRDefault="00724261" w:rsidP="007B6C80">
      <w:pPr>
        <w:pStyle w:val="SingleTxtG"/>
        <w:ind w:firstLine="567"/>
        <w:rPr>
          <w:b/>
          <w:bCs/>
        </w:rPr>
      </w:pPr>
      <w:r w:rsidRPr="00D73A1E">
        <w:rPr>
          <w:b/>
        </w:rPr>
        <w:t>(</w:t>
      </w:r>
      <w:r w:rsidR="00741F26" w:rsidRPr="00D73A1E">
        <w:rPr>
          <w:b/>
        </w:rPr>
        <w:t>d</w:t>
      </w:r>
      <w:r w:rsidRPr="00D73A1E">
        <w:rPr>
          <w:b/>
        </w:rPr>
        <w:t>)</w:t>
      </w:r>
      <w:r w:rsidRPr="00D73A1E">
        <w:rPr>
          <w:b/>
        </w:rPr>
        <w:tab/>
      </w:r>
      <w:r w:rsidRPr="00502ECB">
        <w:rPr>
          <w:b/>
          <w:bCs/>
        </w:rPr>
        <w:t>Enact legislation to ban all</w:t>
      </w:r>
      <w:r w:rsidR="009C5F1D" w:rsidRPr="00502ECB">
        <w:rPr>
          <w:b/>
          <w:bCs/>
        </w:rPr>
        <w:t xml:space="preserve"> corporal punishment, </w:t>
      </w:r>
      <w:proofErr w:type="gramStart"/>
      <w:r w:rsidR="009C5F1D" w:rsidRPr="00502ECB">
        <w:rPr>
          <w:b/>
          <w:bCs/>
        </w:rPr>
        <w:t>abuse</w:t>
      </w:r>
      <w:proofErr w:type="gramEnd"/>
      <w:r w:rsidR="009C5F1D" w:rsidRPr="00502ECB">
        <w:rPr>
          <w:b/>
          <w:bCs/>
        </w:rPr>
        <w:t xml:space="preserve"> and domestic violence, particularly regarding children with disabilities living in poverty</w:t>
      </w:r>
      <w:r w:rsidR="00F33918" w:rsidRPr="00502ECB">
        <w:rPr>
          <w:b/>
          <w:bCs/>
        </w:rPr>
        <w:t xml:space="preserve"> and autistic children</w:t>
      </w:r>
      <w:r w:rsidRPr="00502ECB">
        <w:rPr>
          <w:b/>
          <w:bCs/>
        </w:rPr>
        <w:t>.</w:t>
      </w:r>
    </w:p>
    <w:p w14:paraId="67D45B16" w14:textId="2F8B4115" w:rsidR="00204067" w:rsidRPr="00502ECB" w:rsidRDefault="00204067" w:rsidP="00204067">
      <w:pPr>
        <w:pStyle w:val="H23G"/>
        <w:outlineLvl w:val="2"/>
      </w:pPr>
      <w:r w:rsidRPr="00502ECB">
        <w:lastRenderedPageBreak/>
        <w:tab/>
      </w:r>
      <w:r w:rsidRPr="00502ECB">
        <w:tab/>
        <w:t>Protecting the integrity of the person (art. 17)</w:t>
      </w:r>
    </w:p>
    <w:p w14:paraId="2EB68027" w14:textId="226F7DBE" w:rsidR="00204067" w:rsidRPr="00502ECB" w:rsidRDefault="00204067" w:rsidP="00C112CD">
      <w:pPr>
        <w:pStyle w:val="SingleTxtG"/>
      </w:pPr>
      <w:r w:rsidRPr="00502ECB">
        <w:t>35.</w:t>
      </w:r>
      <w:r w:rsidRPr="00502ECB">
        <w:tab/>
        <w:t xml:space="preserve">The Committee observes with concern information about </w:t>
      </w:r>
      <w:r w:rsidR="00945423" w:rsidRPr="00502ECB">
        <w:t xml:space="preserve">forced or involuntary abortion, sterilisation, contraception, </w:t>
      </w:r>
      <w:r w:rsidRPr="00502ECB">
        <w:t>and</w:t>
      </w:r>
      <w:r w:rsidR="00945423" w:rsidRPr="00502ECB">
        <w:t xml:space="preserve"> the use of sexuality suppression medication</w:t>
      </w:r>
      <w:r w:rsidR="008C7004" w:rsidRPr="00502ECB">
        <w:t xml:space="preserve"> </w:t>
      </w:r>
      <w:r w:rsidRPr="00502ECB">
        <w:t xml:space="preserve">against persons with disabilities. </w:t>
      </w:r>
    </w:p>
    <w:p w14:paraId="67BABCDF" w14:textId="200B4547" w:rsidR="00945423" w:rsidRPr="00502ECB" w:rsidRDefault="00204067" w:rsidP="00C112CD">
      <w:pPr>
        <w:pStyle w:val="SingleTxtG"/>
      </w:pPr>
      <w:r w:rsidRPr="00502ECB">
        <w:t>3</w:t>
      </w:r>
      <w:r w:rsidR="00572260" w:rsidRPr="00502ECB">
        <w:t>6</w:t>
      </w:r>
      <w:r w:rsidRPr="00502ECB">
        <w:t>.</w:t>
      </w:r>
      <w:r w:rsidRPr="00502ECB">
        <w:tab/>
      </w:r>
      <w:r w:rsidRPr="00502ECB">
        <w:rPr>
          <w:b/>
        </w:rPr>
        <w:t xml:space="preserve">The Committee recommends that the State party explicitly </w:t>
      </w:r>
      <w:r w:rsidR="00945423" w:rsidRPr="00502ECB">
        <w:rPr>
          <w:rFonts w:eastAsia="Calibri"/>
          <w:b/>
          <w:bCs/>
        </w:rPr>
        <w:t>prohibit abortion</w:t>
      </w:r>
      <w:r w:rsidRPr="00502ECB">
        <w:rPr>
          <w:rFonts w:eastAsia="Calibri"/>
          <w:b/>
          <w:bCs/>
        </w:rPr>
        <w:t>,</w:t>
      </w:r>
      <w:r w:rsidR="00945423" w:rsidRPr="00502ECB">
        <w:rPr>
          <w:rFonts w:eastAsia="Calibri"/>
          <w:b/>
          <w:bCs/>
        </w:rPr>
        <w:t xml:space="preserve"> sterilisation, </w:t>
      </w:r>
      <w:proofErr w:type="gramStart"/>
      <w:r w:rsidR="00945423" w:rsidRPr="00502ECB">
        <w:rPr>
          <w:rFonts w:eastAsia="Calibri"/>
          <w:b/>
          <w:bCs/>
        </w:rPr>
        <w:t>contraception</w:t>
      </w:r>
      <w:proofErr w:type="gramEnd"/>
      <w:r w:rsidRPr="00502ECB">
        <w:rPr>
          <w:rFonts w:eastAsia="Calibri"/>
          <w:b/>
          <w:bCs/>
        </w:rPr>
        <w:t xml:space="preserve"> and the </w:t>
      </w:r>
      <w:r w:rsidR="00945423" w:rsidRPr="00502ECB">
        <w:rPr>
          <w:rFonts w:eastAsia="Calibri"/>
          <w:b/>
          <w:bCs/>
        </w:rPr>
        <w:t>use of sexuality suppression medication</w:t>
      </w:r>
      <w:r w:rsidRPr="00502ECB">
        <w:rPr>
          <w:rFonts w:eastAsia="Calibri"/>
          <w:b/>
          <w:bCs/>
        </w:rPr>
        <w:t xml:space="preserve">, on the basis of </w:t>
      </w:r>
      <w:r w:rsidR="00F33918" w:rsidRPr="00502ECB">
        <w:rPr>
          <w:rFonts w:eastAsia="Calibri"/>
          <w:b/>
          <w:bCs/>
        </w:rPr>
        <w:t>the</w:t>
      </w:r>
      <w:r w:rsidRPr="00502ECB">
        <w:rPr>
          <w:rFonts w:eastAsia="Calibri"/>
          <w:b/>
          <w:bCs/>
        </w:rPr>
        <w:t xml:space="preserve"> authorization</w:t>
      </w:r>
      <w:r w:rsidR="00F33918" w:rsidRPr="00502ECB">
        <w:rPr>
          <w:rFonts w:eastAsia="Calibri"/>
          <w:b/>
          <w:bCs/>
        </w:rPr>
        <w:t xml:space="preserve"> of a third party</w:t>
      </w:r>
      <w:r w:rsidR="0043568D" w:rsidRPr="00502ECB">
        <w:rPr>
          <w:rFonts w:eastAsia="Calibri"/>
          <w:b/>
          <w:bCs/>
        </w:rPr>
        <w:t>, and that it</w:t>
      </w:r>
      <w:r w:rsidRPr="00502ECB">
        <w:rPr>
          <w:rFonts w:eastAsia="Calibri"/>
          <w:b/>
          <w:bCs/>
        </w:rPr>
        <w:t xml:space="preserve"> develop</w:t>
      </w:r>
      <w:r w:rsidR="002D30A0">
        <w:rPr>
          <w:rFonts w:eastAsia="Calibri"/>
          <w:b/>
          <w:bCs/>
        </w:rPr>
        <w:t>s</w:t>
      </w:r>
      <w:r w:rsidRPr="00502ECB">
        <w:rPr>
          <w:rFonts w:eastAsia="Calibri"/>
          <w:b/>
          <w:bCs/>
        </w:rPr>
        <w:t xml:space="preserve"> public programmes to raise awareness and inform persons with disabilities, targeting young persons</w:t>
      </w:r>
      <w:r w:rsidR="0043568D" w:rsidRPr="00502ECB">
        <w:rPr>
          <w:rFonts w:eastAsia="Calibri"/>
          <w:b/>
          <w:bCs/>
        </w:rPr>
        <w:t xml:space="preserve"> with disabilities and</w:t>
      </w:r>
      <w:r w:rsidRPr="00502ECB">
        <w:rPr>
          <w:rFonts w:eastAsia="Calibri"/>
          <w:b/>
          <w:bCs/>
        </w:rPr>
        <w:t xml:space="preserve"> women and girls with disabilities</w:t>
      </w:r>
      <w:r w:rsidR="0043568D" w:rsidRPr="00502ECB">
        <w:rPr>
          <w:rFonts w:eastAsia="Calibri"/>
          <w:b/>
          <w:bCs/>
        </w:rPr>
        <w:t>,</w:t>
      </w:r>
      <w:r w:rsidRPr="00502ECB">
        <w:rPr>
          <w:rFonts w:eastAsia="Calibri"/>
          <w:b/>
          <w:bCs/>
        </w:rPr>
        <w:t xml:space="preserve"> about their sexual and reproductive rights. </w:t>
      </w:r>
    </w:p>
    <w:p w14:paraId="4392D801" w14:textId="77777777" w:rsidR="006F67A9" w:rsidRPr="00502ECB" w:rsidRDefault="006F67A9" w:rsidP="006F67A9">
      <w:pPr>
        <w:pStyle w:val="H23G"/>
        <w:outlineLvl w:val="2"/>
      </w:pPr>
      <w:r w:rsidRPr="00502ECB">
        <w:rPr>
          <w:color w:val="365F91" w:themeColor="accent1" w:themeShade="BF"/>
        </w:rPr>
        <w:tab/>
      </w:r>
      <w:r w:rsidRPr="00502ECB">
        <w:rPr>
          <w:color w:val="365F91" w:themeColor="accent1" w:themeShade="BF"/>
        </w:rPr>
        <w:tab/>
      </w:r>
      <w:r w:rsidRPr="00502ECB">
        <w:t>Liberty of movement and nationality (art. 18)</w:t>
      </w:r>
    </w:p>
    <w:p w14:paraId="7375664B" w14:textId="31CAE7A6" w:rsidR="006F67A9" w:rsidRPr="00502ECB" w:rsidRDefault="007C5358" w:rsidP="006F67A9">
      <w:pPr>
        <w:pStyle w:val="SingleTxtG"/>
        <w:rPr>
          <w:b/>
          <w:color w:val="000000" w:themeColor="text1"/>
        </w:rPr>
      </w:pPr>
      <w:r w:rsidRPr="00502ECB">
        <w:rPr>
          <w:color w:val="000000" w:themeColor="text1"/>
        </w:rPr>
        <w:t>37</w:t>
      </w:r>
      <w:r w:rsidR="006F67A9" w:rsidRPr="00502ECB">
        <w:rPr>
          <w:color w:val="000000" w:themeColor="text1"/>
        </w:rPr>
        <w:t>.</w:t>
      </w:r>
      <w:r w:rsidR="006F67A9" w:rsidRPr="00502ECB">
        <w:rPr>
          <w:color w:val="000000" w:themeColor="text1"/>
        </w:rPr>
        <w:tab/>
        <w:t>The Committee is concerned about:</w:t>
      </w:r>
      <w:r w:rsidR="006F67A9" w:rsidRPr="00502ECB">
        <w:rPr>
          <w:b/>
          <w:color w:val="000000" w:themeColor="text1"/>
        </w:rPr>
        <w:t xml:space="preserve"> </w:t>
      </w:r>
    </w:p>
    <w:p w14:paraId="79E23378" w14:textId="132F1871" w:rsidR="006F67A9" w:rsidRPr="00502ECB" w:rsidRDefault="006F67A9" w:rsidP="00D73A1E">
      <w:pPr>
        <w:pStyle w:val="SingleTxtG"/>
        <w:ind w:firstLine="567"/>
        <w:rPr>
          <w:color w:val="000000" w:themeColor="text1"/>
        </w:rPr>
      </w:pPr>
      <w:r w:rsidRPr="00502ECB">
        <w:rPr>
          <w:color w:val="000000" w:themeColor="text1"/>
        </w:rPr>
        <w:tab/>
        <w:t>(a)</w:t>
      </w:r>
      <w:r w:rsidRPr="00502ECB">
        <w:rPr>
          <w:color w:val="000000" w:themeColor="text1"/>
        </w:rPr>
        <w:tab/>
      </w:r>
      <w:r w:rsidR="00D076B5" w:rsidRPr="00502ECB">
        <w:rPr>
          <w:color w:val="000000" w:themeColor="text1"/>
        </w:rPr>
        <w:t>The</w:t>
      </w:r>
      <w:r w:rsidRPr="00502ECB">
        <w:rPr>
          <w:color w:val="000000" w:themeColor="text1"/>
        </w:rPr>
        <w:t xml:space="preserve"> lack of appropriate support</w:t>
      </w:r>
      <w:r w:rsidR="00AF4A82" w:rsidRPr="00502ECB">
        <w:rPr>
          <w:color w:val="000000" w:themeColor="text1"/>
        </w:rPr>
        <w:t xml:space="preserve"> measures</w:t>
      </w:r>
      <w:r w:rsidRPr="00502ECB">
        <w:rPr>
          <w:color w:val="000000" w:themeColor="text1"/>
        </w:rPr>
        <w:t xml:space="preserve"> and reasonable accommodation for asylum seekers with disabilities</w:t>
      </w:r>
      <w:r w:rsidR="00AF4A82" w:rsidRPr="00502ECB">
        <w:rPr>
          <w:color w:val="000000" w:themeColor="text1"/>
        </w:rPr>
        <w:t>,</w:t>
      </w:r>
      <w:r w:rsidRPr="00502ECB">
        <w:rPr>
          <w:color w:val="000000" w:themeColor="text1"/>
        </w:rPr>
        <w:t xml:space="preserve"> particularly the scarcity of qualified sign language interpreters in immigration procedure</w:t>
      </w:r>
      <w:r w:rsidR="00AF4A82" w:rsidRPr="00502ECB">
        <w:rPr>
          <w:color w:val="000000" w:themeColor="text1"/>
        </w:rPr>
        <w:t>s</w:t>
      </w:r>
      <w:r w:rsidRPr="00502ECB">
        <w:rPr>
          <w:color w:val="000000" w:themeColor="text1"/>
        </w:rPr>
        <w:t xml:space="preserve"> and</w:t>
      </w:r>
      <w:r w:rsidR="00D076B5" w:rsidRPr="00502ECB">
        <w:rPr>
          <w:color w:val="000000" w:themeColor="text1"/>
        </w:rPr>
        <w:t xml:space="preserve"> t</w:t>
      </w:r>
      <w:r w:rsidR="00FE2445">
        <w:rPr>
          <w:color w:val="000000" w:themeColor="text1"/>
        </w:rPr>
        <w:t>he</w:t>
      </w:r>
      <w:r w:rsidRPr="00502ECB">
        <w:rPr>
          <w:color w:val="000000" w:themeColor="text1"/>
        </w:rPr>
        <w:t xml:space="preserve"> </w:t>
      </w:r>
      <w:r w:rsidR="0027149B">
        <w:rPr>
          <w:color w:val="000000" w:themeColor="text1"/>
        </w:rPr>
        <w:t>limited</w:t>
      </w:r>
      <w:r w:rsidR="00D076B5" w:rsidRPr="00502ECB">
        <w:rPr>
          <w:color w:val="000000" w:themeColor="text1"/>
        </w:rPr>
        <w:t xml:space="preserve"> accessibility for wheelchair users</w:t>
      </w:r>
      <w:r w:rsidR="0027149B">
        <w:rPr>
          <w:color w:val="000000" w:themeColor="text1"/>
        </w:rPr>
        <w:t xml:space="preserve"> and other persons with disabilities </w:t>
      </w:r>
      <w:r w:rsidR="00D076B5" w:rsidRPr="00502ECB">
        <w:rPr>
          <w:color w:val="000000" w:themeColor="text1"/>
        </w:rPr>
        <w:t xml:space="preserve"> to premises </w:t>
      </w:r>
      <w:r w:rsidRPr="00502ECB">
        <w:rPr>
          <w:color w:val="000000" w:themeColor="text1"/>
        </w:rPr>
        <w:t>such as the Ministry of Internal Affairs' Migrant Accommodation Centre</w:t>
      </w:r>
      <w:r w:rsidR="00965278" w:rsidRPr="00502ECB">
        <w:rPr>
          <w:color w:val="000000" w:themeColor="text1"/>
        </w:rPr>
        <w:t xml:space="preserve"> and the </w:t>
      </w:r>
      <w:r w:rsidR="00965278" w:rsidRPr="00502ECB">
        <w:rPr>
          <w:bCs/>
        </w:rPr>
        <w:t>Integration Cent</w:t>
      </w:r>
      <w:r w:rsidR="00AF4A82" w:rsidRPr="00502ECB">
        <w:rPr>
          <w:bCs/>
        </w:rPr>
        <w:t>re</w:t>
      </w:r>
      <w:r w:rsidR="00965278" w:rsidRPr="00502ECB">
        <w:rPr>
          <w:bCs/>
        </w:rPr>
        <w:t xml:space="preserve"> of the Internally Displaced Persons, Eco-Migrants and Livelihood Agency of the Ministry of Health</w:t>
      </w:r>
      <w:r w:rsidRPr="00502ECB">
        <w:rPr>
          <w:color w:val="000000" w:themeColor="text1"/>
        </w:rPr>
        <w:t>;</w:t>
      </w:r>
    </w:p>
    <w:p w14:paraId="75DD75E8" w14:textId="65CD1735" w:rsidR="006F67A9" w:rsidRPr="00502ECB" w:rsidRDefault="006F67A9" w:rsidP="00D73A1E">
      <w:pPr>
        <w:pStyle w:val="SingleTxtG"/>
        <w:ind w:firstLine="567"/>
        <w:rPr>
          <w:color w:val="000000" w:themeColor="text1"/>
        </w:rPr>
      </w:pPr>
      <w:r w:rsidRPr="00502ECB">
        <w:rPr>
          <w:color w:val="000000" w:themeColor="text1"/>
        </w:rPr>
        <w:tab/>
        <w:t>(</w:t>
      </w:r>
      <w:r w:rsidR="00965278" w:rsidRPr="00502ECB">
        <w:rPr>
          <w:color w:val="000000" w:themeColor="text1"/>
        </w:rPr>
        <w:t>b</w:t>
      </w:r>
      <w:r w:rsidRPr="00502ECB">
        <w:rPr>
          <w:color w:val="000000" w:themeColor="text1"/>
        </w:rPr>
        <w:t>)</w:t>
      </w:r>
      <w:r w:rsidRPr="00502ECB">
        <w:rPr>
          <w:color w:val="000000" w:themeColor="text1"/>
        </w:rPr>
        <w:tab/>
        <w:t xml:space="preserve">Information </w:t>
      </w:r>
      <w:r w:rsidR="00D076B5" w:rsidRPr="00502ECB">
        <w:rPr>
          <w:color w:val="000000" w:themeColor="text1"/>
        </w:rPr>
        <w:t>indicating</w:t>
      </w:r>
      <w:r w:rsidRPr="00502ECB">
        <w:rPr>
          <w:color w:val="000000" w:themeColor="text1"/>
        </w:rPr>
        <w:t xml:space="preserve"> insufficient healthcare services for migrant</w:t>
      </w:r>
      <w:r w:rsidR="007C5358" w:rsidRPr="00502ECB">
        <w:rPr>
          <w:color w:val="000000" w:themeColor="text1"/>
        </w:rPr>
        <w:t xml:space="preserve"> persons with disabilities</w:t>
      </w:r>
      <w:r w:rsidR="00D076B5" w:rsidRPr="00502ECB">
        <w:rPr>
          <w:color w:val="000000" w:themeColor="text1"/>
        </w:rPr>
        <w:t>,</w:t>
      </w:r>
      <w:r w:rsidRPr="00502ECB">
        <w:rPr>
          <w:color w:val="000000" w:themeColor="text1"/>
        </w:rPr>
        <w:t xml:space="preserve"> </w:t>
      </w:r>
      <w:r w:rsidR="00D076B5" w:rsidRPr="00502ECB">
        <w:rPr>
          <w:color w:val="000000" w:themeColor="text1"/>
        </w:rPr>
        <w:t>particularly</w:t>
      </w:r>
      <w:r w:rsidRPr="00502ECB">
        <w:rPr>
          <w:color w:val="000000" w:themeColor="text1"/>
        </w:rPr>
        <w:t xml:space="preserve"> in the Adjara </w:t>
      </w:r>
      <w:proofErr w:type="gramStart"/>
      <w:r w:rsidRPr="00502ECB">
        <w:rPr>
          <w:color w:val="000000" w:themeColor="text1"/>
        </w:rPr>
        <w:t>district</w:t>
      </w:r>
      <w:r w:rsidR="001556D7" w:rsidRPr="00502ECB">
        <w:rPr>
          <w:color w:val="000000" w:themeColor="text1"/>
        </w:rPr>
        <w:t>;</w:t>
      </w:r>
      <w:proofErr w:type="gramEnd"/>
      <w:r w:rsidRPr="00502ECB">
        <w:rPr>
          <w:color w:val="000000" w:themeColor="text1"/>
        </w:rPr>
        <w:t xml:space="preserve"> </w:t>
      </w:r>
    </w:p>
    <w:p w14:paraId="1D5033DD" w14:textId="7D92DA34" w:rsidR="00556960" w:rsidRPr="00502ECB" w:rsidRDefault="00556960" w:rsidP="00556960">
      <w:pPr>
        <w:pStyle w:val="SingleTxtG"/>
        <w:ind w:firstLine="567"/>
        <w:rPr>
          <w:color w:val="000000" w:themeColor="text1"/>
        </w:rPr>
      </w:pPr>
      <w:r w:rsidRPr="00502ECB">
        <w:rPr>
          <w:color w:val="000000" w:themeColor="text1"/>
        </w:rPr>
        <w:t>(c)</w:t>
      </w:r>
      <w:r w:rsidRPr="00502ECB">
        <w:rPr>
          <w:color w:val="000000" w:themeColor="text1"/>
        </w:rPr>
        <w:tab/>
        <w:t xml:space="preserve">Information indicating that </w:t>
      </w:r>
      <w:r w:rsidRPr="00502ECB">
        <w:t>disability benefits are not available for refugee persons with disabilities.</w:t>
      </w:r>
    </w:p>
    <w:p w14:paraId="4C01341A" w14:textId="12A0E4A9" w:rsidR="006F67A9" w:rsidRPr="00502ECB" w:rsidRDefault="007C5358" w:rsidP="006F67A9">
      <w:pPr>
        <w:pStyle w:val="SingleTxtG"/>
        <w:rPr>
          <w:b/>
          <w:color w:val="000000" w:themeColor="text1"/>
        </w:rPr>
      </w:pPr>
      <w:r w:rsidRPr="00502ECB">
        <w:rPr>
          <w:color w:val="000000" w:themeColor="text1"/>
        </w:rPr>
        <w:t>38</w:t>
      </w:r>
      <w:r w:rsidR="006F67A9" w:rsidRPr="00502ECB">
        <w:rPr>
          <w:color w:val="000000" w:themeColor="text1"/>
        </w:rPr>
        <w:t>.</w:t>
      </w:r>
      <w:r w:rsidR="006F67A9" w:rsidRPr="00502ECB">
        <w:rPr>
          <w:color w:val="000000" w:themeColor="text1"/>
        </w:rPr>
        <w:tab/>
      </w:r>
      <w:r w:rsidR="006F67A9" w:rsidRPr="00502ECB">
        <w:rPr>
          <w:b/>
          <w:color w:val="000000" w:themeColor="text1"/>
        </w:rPr>
        <w:t>The Committee recommends that the State party:</w:t>
      </w:r>
    </w:p>
    <w:p w14:paraId="653895CC" w14:textId="2572F9FC" w:rsidR="006F67A9" w:rsidRPr="00D73A1E" w:rsidRDefault="006F67A9" w:rsidP="00D73A1E">
      <w:pPr>
        <w:pStyle w:val="SingleTxtG"/>
        <w:ind w:firstLine="567"/>
        <w:rPr>
          <w:rFonts w:eastAsia="SimSun"/>
          <w:b/>
          <w:lang w:eastAsia="zh-CN"/>
        </w:rPr>
      </w:pPr>
      <w:r w:rsidRPr="00502ECB">
        <w:rPr>
          <w:b/>
          <w:color w:val="4F81BD" w:themeColor="accent1"/>
        </w:rPr>
        <w:tab/>
      </w:r>
      <w:r w:rsidRPr="00D73A1E">
        <w:rPr>
          <w:b/>
          <w:bCs/>
          <w:color w:val="000000" w:themeColor="text1"/>
        </w:rPr>
        <w:t>(a)</w:t>
      </w:r>
      <w:r w:rsidRPr="00D73A1E">
        <w:rPr>
          <w:b/>
          <w:color w:val="4F81BD" w:themeColor="accent1"/>
        </w:rPr>
        <w:tab/>
      </w:r>
      <w:r w:rsidRPr="00D73A1E">
        <w:rPr>
          <w:b/>
          <w:bCs/>
        </w:rPr>
        <w:t>Provide</w:t>
      </w:r>
      <w:r w:rsidRPr="00D73A1E">
        <w:rPr>
          <w:b/>
        </w:rPr>
        <w:t xml:space="preserve"> </w:t>
      </w:r>
      <w:r w:rsidRPr="00D73A1E">
        <w:rPr>
          <w:b/>
          <w:bCs/>
        </w:rPr>
        <w:t>appropriate support</w:t>
      </w:r>
      <w:r w:rsidR="007D2834" w:rsidRPr="00D73A1E">
        <w:rPr>
          <w:b/>
          <w:bCs/>
        </w:rPr>
        <w:t xml:space="preserve"> measures</w:t>
      </w:r>
      <w:r w:rsidRPr="00D73A1E">
        <w:rPr>
          <w:b/>
          <w:bCs/>
        </w:rPr>
        <w:t xml:space="preserve"> and reasonable accommodation for asylum seekers with disabilities</w:t>
      </w:r>
      <w:r w:rsidR="00D076B5" w:rsidRPr="00D73A1E">
        <w:rPr>
          <w:b/>
          <w:bCs/>
        </w:rPr>
        <w:t xml:space="preserve">, </w:t>
      </w:r>
      <w:r w:rsidR="007D2834" w:rsidRPr="00D73A1E">
        <w:rPr>
          <w:b/>
          <w:bCs/>
        </w:rPr>
        <w:t>establish</w:t>
      </w:r>
      <w:r w:rsidR="00965278" w:rsidRPr="00D73A1E">
        <w:rPr>
          <w:b/>
          <w:bCs/>
        </w:rPr>
        <w:t xml:space="preserve"> </w:t>
      </w:r>
      <w:r w:rsidR="007D2834" w:rsidRPr="00D73A1E">
        <w:rPr>
          <w:rFonts w:eastAsia="Calibri"/>
          <w:b/>
          <w:bCs/>
        </w:rPr>
        <w:t>procedural accommodation</w:t>
      </w:r>
      <w:r w:rsidRPr="00D73A1E">
        <w:rPr>
          <w:rFonts w:eastAsia="Calibri"/>
          <w:b/>
          <w:bCs/>
        </w:rPr>
        <w:t xml:space="preserve"> for persons with disabilities in asylum proceedings, and provide </w:t>
      </w:r>
      <w:r w:rsidR="00D076B5" w:rsidRPr="00D73A1E">
        <w:rPr>
          <w:rFonts w:eastAsia="Calibri"/>
          <w:b/>
          <w:bCs/>
        </w:rPr>
        <w:t>these mechanisms</w:t>
      </w:r>
      <w:r w:rsidRPr="00D73A1E">
        <w:rPr>
          <w:rFonts w:eastAsia="Calibri"/>
          <w:b/>
          <w:bCs/>
        </w:rPr>
        <w:t xml:space="preserve"> with sufficient financial means and personnel</w:t>
      </w:r>
      <w:r w:rsidR="007D2834" w:rsidRPr="00D73A1E">
        <w:rPr>
          <w:rFonts w:eastAsia="Calibri"/>
          <w:b/>
          <w:bCs/>
        </w:rPr>
        <w:t>,</w:t>
      </w:r>
      <w:r w:rsidRPr="00D73A1E">
        <w:rPr>
          <w:rFonts w:eastAsia="Calibri"/>
          <w:b/>
          <w:bCs/>
        </w:rPr>
        <w:t xml:space="preserve"> particularly qualified sign language </w:t>
      </w:r>
      <w:proofErr w:type="gramStart"/>
      <w:r w:rsidRPr="00D73A1E">
        <w:rPr>
          <w:rFonts w:eastAsia="Calibri"/>
          <w:b/>
          <w:bCs/>
        </w:rPr>
        <w:t>interpreters;</w:t>
      </w:r>
      <w:proofErr w:type="gramEnd"/>
      <w:r w:rsidRPr="00D73A1E">
        <w:rPr>
          <w:rFonts w:eastAsia="Calibri"/>
          <w:b/>
          <w:bCs/>
        </w:rPr>
        <w:t xml:space="preserve">  </w:t>
      </w:r>
    </w:p>
    <w:p w14:paraId="56ED7D42" w14:textId="7EF6DD22" w:rsidR="00965278" w:rsidRPr="00D73A1E" w:rsidRDefault="00965278" w:rsidP="00965278">
      <w:pPr>
        <w:pStyle w:val="SingleTxtG"/>
        <w:ind w:firstLine="567"/>
        <w:rPr>
          <w:b/>
          <w:bCs/>
        </w:rPr>
      </w:pPr>
      <w:r w:rsidRPr="00D73A1E">
        <w:rPr>
          <w:b/>
          <w:bCs/>
        </w:rPr>
        <w:t>(b)</w:t>
      </w:r>
      <w:r w:rsidRPr="00D73A1E">
        <w:rPr>
          <w:b/>
          <w:bCs/>
        </w:rPr>
        <w:tab/>
      </w:r>
      <w:r w:rsidRPr="00D73A1E">
        <w:rPr>
          <w:b/>
        </w:rPr>
        <w:t>Ensure that building premises dedicated</w:t>
      </w:r>
      <w:r w:rsidR="007D2834" w:rsidRPr="00D73A1E">
        <w:rPr>
          <w:b/>
        </w:rPr>
        <w:t xml:space="preserve"> to</w:t>
      </w:r>
      <w:r w:rsidRPr="00D73A1E">
        <w:rPr>
          <w:b/>
        </w:rPr>
        <w:t xml:space="preserve"> migrant and asylum</w:t>
      </w:r>
      <w:r w:rsidR="00874E5F" w:rsidRPr="00D73A1E">
        <w:rPr>
          <w:b/>
        </w:rPr>
        <w:t>-</w:t>
      </w:r>
      <w:r w:rsidRPr="00D73A1E">
        <w:rPr>
          <w:b/>
        </w:rPr>
        <w:t xml:space="preserve">seeking procedures are </w:t>
      </w:r>
      <w:r w:rsidR="007D2834" w:rsidRPr="00D73A1E">
        <w:rPr>
          <w:b/>
        </w:rPr>
        <w:t>accessible</w:t>
      </w:r>
      <w:r w:rsidRPr="00D73A1E">
        <w:rPr>
          <w:b/>
        </w:rPr>
        <w:t xml:space="preserve"> for asylum</w:t>
      </w:r>
      <w:r w:rsidR="007D2834" w:rsidRPr="00D73A1E">
        <w:rPr>
          <w:b/>
        </w:rPr>
        <w:t xml:space="preserve"> </w:t>
      </w:r>
      <w:r w:rsidRPr="00D73A1E">
        <w:rPr>
          <w:b/>
        </w:rPr>
        <w:t xml:space="preserve">seekers and refugee persons with disabilities </w:t>
      </w:r>
      <w:r w:rsidR="002D30A0" w:rsidRPr="00D73A1E">
        <w:rPr>
          <w:b/>
        </w:rPr>
        <w:t>regardless</w:t>
      </w:r>
      <w:r w:rsidR="007D2834" w:rsidRPr="00D73A1E">
        <w:rPr>
          <w:b/>
        </w:rPr>
        <w:t xml:space="preserve"> </w:t>
      </w:r>
      <w:r w:rsidRPr="00D73A1E">
        <w:rPr>
          <w:b/>
        </w:rPr>
        <w:t xml:space="preserve">type of </w:t>
      </w:r>
      <w:proofErr w:type="gramStart"/>
      <w:r w:rsidRPr="00D73A1E">
        <w:rPr>
          <w:b/>
        </w:rPr>
        <w:t>impairment</w:t>
      </w:r>
      <w:r w:rsidR="007D2834" w:rsidRPr="00D73A1E">
        <w:rPr>
          <w:b/>
        </w:rPr>
        <w:t>;</w:t>
      </w:r>
      <w:proofErr w:type="gramEnd"/>
    </w:p>
    <w:p w14:paraId="7A69410B" w14:textId="0D8FDD1D" w:rsidR="006E27EE" w:rsidRPr="00D73A1E" w:rsidRDefault="006F67A9" w:rsidP="00D73A1E">
      <w:pPr>
        <w:pStyle w:val="SingleTxtG"/>
        <w:ind w:firstLine="567"/>
        <w:rPr>
          <w:rFonts w:eastAsia="SimSun"/>
          <w:b/>
          <w:bCs/>
          <w:lang w:eastAsia="zh-CN"/>
        </w:rPr>
      </w:pPr>
      <w:r w:rsidRPr="00D73A1E">
        <w:rPr>
          <w:rFonts w:eastAsia="SimSun"/>
          <w:b/>
          <w:lang w:eastAsia="zh-CN"/>
        </w:rPr>
        <w:tab/>
        <w:t>(</w:t>
      </w:r>
      <w:r w:rsidR="00965278" w:rsidRPr="00D73A1E">
        <w:rPr>
          <w:rFonts w:eastAsia="SimSun"/>
          <w:b/>
          <w:lang w:eastAsia="zh-CN"/>
        </w:rPr>
        <w:t>c</w:t>
      </w:r>
      <w:r w:rsidRPr="00D73A1E">
        <w:rPr>
          <w:rFonts w:eastAsia="SimSun"/>
          <w:b/>
          <w:lang w:eastAsia="zh-CN"/>
        </w:rPr>
        <w:t>)</w:t>
      </w:r>
      <w:r w:rsidRPr="00D73A1E">
        <w:rPr>
          <w:rFonts w:eastAsia="SimSun"/>
          <w:b/>
          <w:lang w:eastAsia="zh-CN"/>
        </w:rPr>
        <w:tab/>
      </w:r>
      <w:r w:rsidRPr="00D73A1E">
        <w:rPr>
          <w:rFonts w:eastAsia="SimSun"/>
          <w:b/>
          <w:bCs/>
          <w:lang w:eastAsia="zh-CN"/>
        </w:rPr>
        <w:t>Ensure that health care is provided to asylum seekers</w:t>
      </w:r>
      <w:r w:rsidR="007D2834" w:rsidRPr="00D73A1E">
        <w:rPr>
          <w:rFonts w:eastAsia="SimSun"/>
          <w:b/>
          <w:bCs/>
          <w:lang w:eastAsia="zh-CN"/>
        </w:rPr>
        <w:t xml:space="preserve"> and refugee persons</w:t>
      </w:r>
      <w:r w:rsidRPr="00D73A1E">
        <w:rPr>
          <w:rFonts w:eastAsia="SimSun"/>
          <w:b/>
          <w:bCs/>
          <w:lang w:eastAsia="zh-CN"/>
        </w:rPr>
        <w:t xml:space="preserve"> with disabilities, including accessible</w:t>
      </w:r>
      <w:r w:rsidR="00D076B5" w:rsidRPr="00D73A1E">
        <w:rPr>
          <w:rFonts w:eastAsia="SimSun"/>
          <w:b/>
          <w:bCs/>
          <w:lang w:eastAsia="zh-CN"/>
        </w:rPr>
        <w:t xml:space="preserve"> psychosocial</w:t>
      </w:r>
      <w:r w:rsidRPr="00D73A1E">
        <w:rPr>
          <w:rFonts w:eastAsia="SimSun"/>
          <w:b/>
          <w:bCs/>
          <w:lang w:eastAsia="zh-CN"/>
        </w:rPr>
        <w:t xml:space="preserve"> support services</w:t>
      </w:r>
      <w:r w:rsidR="00D076B5" w:rsidRPr="00D73A1E">
        <w:rPr>
          <w:rFonts w:eastAsia="SimSun"/>
          <w:b/>
          <w:bCs/>
          <w:lang w:eastAsia="zh-CN"/>
        </w:rPr>
        <w:t xml:space="preserve"> in the </w:t>
      </w:r>
      <w:proofErr w:type="gramStart"/>
      <w:r w:rsidR="00D076B5" w:rsidRPr="00D73A1E">
        <w:rPr>
          <w:rFonts w:eastAsia="SimSun"/>
          <w:b/>
          <w:bCs/>
          <w:lang w:eastAsia="zh-CN"/>
        </w:rPr>
        <w:t>community</w:t>
      </w:r>
      <w:r w:rsidR="00556960" w:rsidRPr="00D73A1E">
        <w:rPr>
          <w:rFonts w:eastAsia="SimSun"/>
          <w:b/>
          <w:bCs/>
          <w:lang w:eastAsia="zh-CN"/>
        </w:rPr>
        <w:t>;</w:t>
      </w:r>
      <w:proofErr w:type="gramEnd"/>
    </w:p>
    <w:p w14:paraId="58CA8E09" w14:textId="621323B7" w:rsidR="00556960" w:rsidRPr="00502ECB" w:rsidRDefault="00556960" w:rsidP="00556960">
      <w:pPr>
        <w:pStyle w:val="SingleTxtG"/>
        <w:ind w:firstLine="567"/>
        <w:rPr>
          <w:rFonts w:eastAsia="SimSun"/>
          <w:b/>
          <w:bCs/>
          <w:lang w:eastAsia="zh-CN"/>
        </w:rPr>
      </w:pPr>
      <w:r w:rsidRPr="00D73A1E">
        <w:rPr>
          <w:rFonts w:eastAsia="SimSun"/>
          <w:b/>
          <w:lang w:eastAsia="zh-CN"/>
        </w:rPr>
        <w:t>(d)</w:t>
      </w:r>
      <w:r w:rsidRPr="00D73A1E">
        <w:rPr>
          <w:rFonts w:eastAsia="SimSun"/>
          <w:b/>
          <w:lang w:eastAsia="zh-CN"/>
        </w:rPr>
        <w:tab/>
      </w:r>
      <w:r w:rsidRPr="00D73A1E">
        <w:rPr>
          <w:rFonts w:eastAsia="SimSun"/>
          <w:b/>
          <w:bCs/>
          <w:lang w:eastAsia="zh-CN"/>
        </w:rPr>
        <w:t>Adopt measures, including protocols</w:t>
      </w:r>
      <w:r w:rsidR="007D2834" w:rsidRPr="00D73A1E">
        <w:rPr>
          <w:rFonts w:eastAsia="SimSun"/>
          <w:b/>
          <w:bCs/>
          <w:lang w:eastAsia="zh-CN"/>
        </w:rPr>
        <w:t>,</w:t>
      </w:r>
      <w:r w:rsidRPr="00D73A1E">
        <w:rPr>
          <w:rFonts w:eastAsia="SimSun"/>
          <w:b/>
          <w:bCs/>
          <w:lang w:eastAsia="zh-CN"/>
        </w:rPr>
        <w:t xml:space="preserve"> to recognise persons with disabilities in refugee like</w:t>
      </w:r>
      <w:r w:rsidRPr="00502ECB">
        <w:rPr>
          <w:rFonts w:eastAsia="SimSun"/>
          <w:b/>
          <w:bCs/>
          <w:lang w:eastAsia="zh-CN"/>
        </w:rPr>
        <w:t xml:space="preserve"> situations in the social security schemes in the State party</w:t>
      </w:r>
      <w:r w:rsidR="007D2834" w:rsidRPr="00502ECB">
        <w:rPr>
          <w:rFonts w:eastAsia="SimSun"/>
          <w:b/>
          <w:bCs/>
          <w:lang w:eastAsia="zh-CN"/>
        </w:rPr>
        <w:t>,</w:t>
      </w:r>
      <w:r w:rsidRPr="00502ECB">
        <w:rPr>
          <w:rFonts w:eastAsia="SimSun"/>
          <w:b/>
          <w:bCs/>
          <w:lang w:eastAsia="zh-CN"/>
        </w:rPr>
        <w:t xml:space="preserve"> and </w:t>
      </w:r>
      <w:r w:rsidR="007D2834" w:rsidRPr="00502ECB">
        <w:rPr>
          <w:rFonts w:eastAsia="SimSun"/>
          <w:b/>
          <w:bCs/>
          <w:lang w:eastAsia="zh-CN"/>
        </w:rPr>
        <w:t xml:space="preserve">to ensure </w:t>
      </w:r>
      <w:r w:rsidR="00560B81" w:rsidRPr="00502ECB">
        <w:rPr>
          <w:rFonts w:eastAsia="SimSun"/>
          <w:b/>
          <w:bCs/>
          <w:lang w:eastAsia="zh-CN"/>
        </w:rPr>
        <w:t xml:space="preserve">the possibility </w:t>
      </w:r>
      <w:r w:rsidR="007D2834" w:rsidRPr="00502ECB">
        <w:rPr>
          <w:rFonts w:eastAsia="SimSun"/>
          <w:b/>
          <w:bCs/>
          <w:lang w:eastAsia="zh-CN"/>
        </w:rPr>
        <w:t>to have access to</w:t>
      </w:r>
      <w:r w:rsidR="00560B81" w:rsidRPr="00502ECB">
        <w:rPr>
          <w:rFonts w:eastAsia="SimSun"/>
          <w:b/>
          <w:bCs/>
          <w:lang w:eastAsia="zh-CN"/>
        </w:rPr>
        <w:t xml:space="preserve"> disability-related benefits. </w:t>
      </w:r>
    </w:p>
    <w:p w14:paraId="6926FBB3" w14:textId="7D6A5370" w:rsidR="006F67A9" w:rsidRPr="00502ECB" w:rsidRDefault="006F67A9" w:rsidP="006F67A9">
      <w:pPr>
        <w:pStyle w:val="H23G"/>
        <w:outlineLvl w:val="2"/>
        <w:rPr>
          <w:color w:val="4F81BD" w:themeColor="accent1"/>
        </w:rPr>
      </w:pPr>
      <w:r w:rsidRPr="00502ECB">
        <w:tab/>
      </w:r>
      <w:r w:rsidRPr="00502ECB">
        <w:tab/>
        <w:t>Living independently and being included in the community (art. 19)</w:t>
      </w:r>
    </w:p>
    <w:p w14:paraId="48636119" w14:textId="541738EF" w:rsidR="0075118F" w:rsidRPr="00502ECB" w:rsidRDefault="0075118F" w:rsidP="0075118F">
      <w:pPr>
        <w:pStyle w:val="SingleTxtG"/>
        <w:rPr>
          <w:color w:val="000000" w:themeColor="text1"/>
        </w:rPr>
      </w:pPr>
      <w:r w:rsidRPr="00502ECB">
        <w:rPr>
          <w:color w:val="000000" w:themeColor="text1"/>
        </w:rPr>
        <w:t>39.</w:t>
      </w:r>
      <w:r w:rsidRPr="00502ECB">
        <w:rPr>
          <w:color w:val="000000" w:themeColor="text1"/>
        </w:rPr>
        <w:tab/>
        <w:t>The Committee observes with concern:</w:t>
      </w:r>
    </w:p>
    <w:p w14:paraId="2790E3C9" w14:textId="2D9065DB" w:rsidR="0075118F" w:rsidRPr="00502ECB" w:rsidRDefault="0075118F" w:rsidP="00D73A1E">
      <w:pPr>
        <w:pStyle w:val="SingleTxtG"/>
        <w:ind w:firstLine="567"/>
        <w:rPr>
          <w:color w:val="000000" w:themeColor="text1"/>
        </w:rPr>
      </w:pPr>
      <w:r w:rsidRPr="00502ECB">
        <w:rPr>
          <w:color w:val="000000" w:themeColor="text1"/>
          <w:lang w:val="en-US"/>
        </w:rPr>
        <w:tab/>
      </w:r>
      <w:r w:rsidRPr="00502ECB">
        <w:rPr>
          <w:color w:val="000000" w:themeColor="text1"/>
        </w:rPr>
        <w:t>(a)</w:t>
      </w:r>
      <w:r w:rsidR="00D73A1E">
        <w:rPr>
          <w:color w:val="000000" w:themeColor="text1"/>
        </w:rPr>
        <w:tab/>
      </w:r>
      <w:r w:rsidRPr="00502ECB">
        <w:rPr>
          <w:color w:val="000000" w:themeColor="text1"/>
        </w:rPr>
        <w:t>That sub-programs of “community organizations” and “small</w:t>
      </w:r>
      <w:r w:rsidRPr="00502ECB">
        <w:rPr>
          <w:color w:val="000000" w:themeColor="text1"/>
          <w:lang w:val="en-US"/>
        </w:rPr>
        <w:t xml:space="preserve"> </w:t>
      </w:r>
      <w:r w:rsidRPr="00502ECB">
        <w:rPr>
          <w:color w:val="000000" w:themeColor="text1"/>
        </w:rPr>
        <w:t xml:space="preserve">family-type homes" referred to by the State party in its initial report (CRPD/C/GEO/1, para. 126) reproduce institutionalization, discrimination and marginalization of persons with </w:t>
      </w:r>
      <w:proofErr w:type="gramStart"/>
      <w:r w:rsidRPr="00502ECB">
        <w:rPr>
          <w:color w:val="000000" w:themeColor="text1"/>
        </w:rPr>
        <w:t>disabilities;</w:t>
      </w:r>
      <w:proofErr w:type="gramEnd"/>
    </w:p>
    <w:p w14:paraId="7C7F587A" w14:textId="0587EFEB" w:rsidR="0075118F" w:rsidRPr="00502ECB" w:rsidRDefault="0075118F" w:rsidP="00D73A1E">
      <w:pPr>
        <w:pStyle w:val="SingleTxtG"/>
        <w:ind w:firstLine="567"/>
        <w:rPr>
          <w:color w:val="000000" w:themeColor="text1"/>
        </w:rPr>
      </w:pPr>
      <w:r w:rsidRPr="00502ECB">
        <w:rPr>
          <w:color w:val="000000" w:themeColor="text1"/>
        </w:rPr>
        <w:tab/>
        <w:t>(b)</w:t>
      </w:r>
      <w:r w:rsidRPr="00502ECB">
        <w:rPr>
          <w:color w:val="000000" w:themeColor="text1"/>
        </w:rPr>
        <w:tab/>
      </w:r>
      <w:r w:rsidR="007D2834" w:rsidRPr="00502ECB">
        <w:rPr>
          <w:color w:val="000000" w:themeColor="text1"/>
        </w:rPr>
        <w:t xml:space="preserve">That the </w:t>
      </w:r>
      <w:r w:rsidRPr="00502ECB">
        <w:rPr>
          <w:color w:val="000000" w:themeColor="text1"/>
          <w:lang w:val="en-US"/>
        </w:rPr>
        <w:t>deinstitutionalization</w:t>
      </w:r>
      <w:r w:rsidRPr="00502ECB">
        <w:rPr>
          <w:color w:val="000000" w:themeColor="text1"/>
        </w:rPr>
        <w:t xml:space="preserve"> programme </w:t>
      </w:r>
      <w:r w:rsidR="007D2834" w:rsidRPr="00502ECB">
        <w:rPr>
          <w:color w:val="000000" w:themeColor="text1"/>
        </w:rPr>
        <w:t xml:space="preserve">is </w:t>
      </w:r>
      <w:r w:rsidRPr="00502ECB">
        <w:rPr>
          <w:color w:val="000000" w:themeColor="text1"/>
        </w:rPr>
        <w:t xml:space="preserve">implemented in a fragmented manner, leaving some </w:t>
      </w:r>
      <w:r w:rsidR="00174204" w:rsidRPr="00502ECB">
        <w:rPr>
          <w:color w:val="000000" w:themeColor="text1"/>
        </w:rPr>
        <w:t xml:space="preserve">large </w:t>
      </w:r>
      <w:r w:rsidRPr="00502ECB">
        <w:rPr>
          <w:color w:val="000000" w:themeColor="text1"/>
        </w:rPr>
        <w:t xml:space="preserve">institutions operating, and the absence of measures to support persons with disabilities in developing their skills to live independently and in the </w:t>
      </w:r>
      <w:proofErr w:type="gramStart"/>
      <w:r w:rsidRPr="00502ECB">
        <w:rPr>
          <w:color w:val="000000" w:themeColor="text1"/>
        </w:rPr>
        <w:t>community;</w:t>
      </w:r>
      <w:proofErr w:type="gramEnd"/>
    </w:p>
    <w:p w14:paraId="3C7244F2" w14:textId="4C6C9AAC" w:rsidR="0075118F" w:rsidRPr="00502ECB" w:rsidRDefault="0075118F" w:rsidP="00D73A1E">
      <w:pPr>
        <w:pStyle w:val="SingleTxtG"/>
        <w:ind w:firstLine="567"/>
        <w:rPr>
          <w:color w:val="000000" w:themeColor="text1"/>
        </w:rPr>
      </w:pPr>
      <w:r w:rsidRPr="00502ECB">
        <w:rPr>
          <w:color w:val="000000" w:themeColor="text1"/>
        </w:rPr>
        <w:t>(c)</w:t>
      </w:r>
      <w:r w:rsidR="00D73A1E">
        <w:rPr>
          <w:color w:val="000000" w:themeColor="text1"/>
        </w:rPr>
        <w:tab/>
      </w:r>
      <w:r w:rsidRPr="00502ECB">
        <w:rPr>
          <w:color w:val="000000" w:themeColor="text1"/>
        </w:rPr>
        <w:t>The insufficient range of support</w:t>
      </w:r>
      <w:r w:rsidR="007D2834" w:rsidRPr="00502ECB">
        <w:rPr>
          <w:color w:val="000000" w:themeColor="text1"/>
        </w:rPr>
        <w:t xml:space="preserve"> measures to live</w:t>
      </w:r>
      <w:r w:rsidRPr="00502ECB">
        <w:rPr>
          <w:color w:val="000000" w:themeColor="text1"/>
        </w:rPr>
        <w:t xml:space="preserve"> in the community, including home care services and personal </w:t>
      </w:r>
      <w:proofErr w:type="gramStart"/>
      <w:r w:rsidRPr="00502ECB">
        <w:rPr>
          <w:color w:val="000000" w:themeColor="text1"/>
        </w:rPr>
        <w:t>assistance;</w:t>
      </w:r>
      <w:proofErr w:type="gramEnd"/>
      <w:r w:rsidRPr="00502ECB">
        <w:rPr>
          <w:color w:val="000000" w:themeColor="text1"/>
        </w:rPr>
        <w:t xml:space="preserve"> </w:t>
      </w:r>
    </w:p>
    <w:p w14:paraId="06CBBEE0" w14:textId="151B9170" w:rsidR="0075118F" w:rsidRPr="00502ECB" w:rsidRDefault="0075118F" w:rsidP="00D73A1E">
      <w:pPr>
        <w:pStyle w:val="SingleTxtG"/>
        <w:ind w:firstLine="567"/>
        <w:rPr>
          <w:color w:val="000000" w:themeColor="text1"/>
        </w:rPr>
      </w:pPr>
      <w:r w:rsidRPr="00502ECB">
        <w:rPr>
          <w:color w:val="000000" w:themeColor="text1"/>
        </w:rPr>
        <w:lastRenderedPageBreak/>
        <w:tab/>
        <w:t>(d)</w:t>
      </w:r>
      <w:r w:rsidR="00D73A1E">
        <w:rPr>
          <w:color w:val="000000" w:themeColor="text1"/>
        </w:rPr>
        <w:tab/>
      </w:r>
      <w:r w:rsidRPr="00502ECB">
        <w:rPr>
          <w:color w:val="000000" w:themeColor="text1"/>
        </w:rPr>
        <w:t xml:space="preserve">The lack of measures to develop accessible and affordable housing in the community, </w:t>
      </w:r>
      <w:r w:rsidR="000C3CC9" w:rsidRPr="00502ECB">
        <w:rPr>
          <w:color w:val="000000" w:themeColor="text1"/>
        </w:rPr>
        <w:t xml:space="preserve">providing persons </w:t>
      </w:r>
      <w:r w:rsidRPr="00502ECB">
        <w:rPr>
          <w:color w:val="000000" w:themeColor="text1"/>
        </w:rPr>
        <w:t xml:space="preserve">with disabilities </w:t>
      </w:r>
      <w:r w:rsidR="000C3CC9" w:rsidRPr="00502ECB">
        <w:rPr>
          <w:color w:val="000000" w:themeColor="text1"/>
        </w:rPr>
        <w:t>with a choice of</w:t>
      </w:r>
      <w:r w:rsidRPr="00502ECB">
        <w:rPr>
          <w:color w:val="000000" w:themeColor="text1"/>
        </w:rPr>
        <w:t xml:space="preserve"> where and with whom they live</w:t>
      </w:r>
      <w:r w:rsidR="000C3CC9" w:rsidRPr="00502ECB">
        <w:rPr>
          <w:color w:val="000000" w:themeColor="text1"/>
        </w:rPr>
        <w:t>,</w:t>
      </w:r>
      <w:r w:rsidRPr="00502ECB">
        <w:rPr>
          <w:color w:val="000000" w:themeColor="text1"/>
        </w:rPr>
        <w:t xml:space="preserve"> on an equal basis with others</w:t>
      </w:r>
      <w:r w:rsidR="002D30A0">
        <w:rPr>
          <w:color w:val="000000" w:themeColor="text1"/>
        </w:rPr>
        <w:t>.</w:t>
      </w:r>
      <w:r w:rsidRPr="00502ECB">
        <w:rPr>
          <w:color w:val="000000" w:themeColor="text1"/>
        </w:rPr>
        <w:tab/>
      </w:r>
    </w:p>
    <w:p w14:paraId="51664B60" w14:textId="1774E7F8" w:rsidR="0075118F" w:rsidRPr="00502ECB" w:rsidRDefault="0075118F" w:rsidP="0075118F">
      <w:pPr>
        <w:pStyle w:val="SingleTxtG"/>
        <w:rPr>
          <w:color w:val="000000" w:themeColor="text1"/>
          <w:lang w:val="en-US"/>
        </w:rPr>
      </w:pPr>
      <w:r w:rsidRPr="00502ECB">
        <w:rPr>
          <w:color w:val="000000" w:themeColor="text1"/>
          <w:lang w:val="en-US"/>
        </w:rPr>
        <w:t>40.</w:t>
      </w:r>
      <w:r w:rsidRPr="00502ECB">
        <w:rPr>
          <w:color w:val="000000" w:themeColor="text1"/>
          <w:lang w:val="en-US"/>
        </w:rPr>
        <w:tab/>
      </w:r>
      <w:r w:rsidRPr="00502ECB">
        <w:rPr>
          <w:b/>
          <w:bCs/>
          <w:color w:val="000000" w:themeColor="text1"/>
          <w:lang w:val="en-US"/>
        </w:rPr>
        <w:t>The Committee recommends that the State party</w:t>
      </w:r>
      <w:r w:rsidR="00387AE8" w:rsidRPr="00502ECB">
        <w:rPr>
          <w:b/>
          <w:bCs/>
          <w:color w:val="000000" w:themeColor="text1"/>
          <w:lang w:val="en-US"/>
        </w:rPr>
        <w:t xml:space="preserve">, in line with </w:t>
      </w:r>
      <w:r w:rsidR="00174204" w:rsidRPr="00502ECB">
        <w:rPr>
          <w:b/>
          <w:bCs/>
          <w:color w:val="000000" w:themeColor="text1"/>
          <w:lang w:val="en-US"/>
        </w:rPr>
        <w:t xml:space="preserve">its </w:t>
      </w:r>
      <w:r w:rsidR="00387AE8" w:rsidRPr="00502ECB">
        <w:rPr>
          <w:b/>
          <w:bCs/>
          <w:color w:val="000000" w:themeColor="text1"/>
          <w:lang w:val="en-US"/>
        </w:rPr>
        <w:t xml:space="preserve">General </w:t>
      </w:r>
      <w:r w:rsidR="00174204" w:rsidRPr="00502ECB">
        <w:rPr>
          <w:b/>
          <w:bCs/>
          <w:color w:val="000000" w:themeColor="text1"/>
          <w:lang w:val="en-US"/>
        </w:rPr>
        <w:t>c</w:t>
      </w:r>
      <w:r w:rsidR="00387AE8" w:rsidRPr="00502ECB">
        <w:rPr>
          <w:b/>
          <w:bCs/>
          <w:color w:val="000000" w:themeColor="text1"/>
          <w:lang w:val="en-US"/>
        </w:rPr>
        <w:t>omment</w:t>
      </w:r>
      <w:r w:rsidR="00174204" w:rsidRPr="00502ECB">
        <w:rPr>
          <w:b/>
          <w:bCs/>
          <w:color w:val="000000" w:themeColor="text1"/>
          <w:lang w:val="en-US"/>
        </w:rPr>
        <w:t xml:space="preserve"> No. 5 (2017) on living independently and being included in the community</w:t>
      </w:r>
      <w:r w:rsidR="00387AE8" w:rsidRPr="00502ECB">
        <w:rPr>
          <w:b/>
          <w:bCs/>
          <w:color w:val="000000" w:themeColor="text1"/>
          <w:lang w:val="en-US"/>
        </w:rPr>
        <w:t xml:space="preserve">, and with the support of the Guidelines on </w:t>
      </w:r>
      <w:r w:rsidR="00174204" w:rsidRPr="00502ECB">
        <w:rPr>
          <w:b/>
          <w:bCs/>
          <w:color w:val="000000" w:themeColor="text1"/>
          <w:lang w:val="en-US"/>
        </w:rPr>
        <w:t>Deinstitutionalization, including in emergencies issued in 2022</w:t>
      </w:r>
      <w:r w:rsidR="00174204" w:rsidRPr="00502ECB">
        <w:rPr>
          <w:rStyle w:val="FootnoteReference"/>
          <w:b/>
          <w:bCs/>
          <w:color w:val="000000" w:themeColor="text1"/>
        </w:rPr>
        <w:footnoteReference w:id="5"/>
      </w:r>
      <w:r w:rsidRPr="00502ECB">
        <w:rPr>
          <w:b/>
          <w:bCs/>
          <w:color w:val="000000" w:themeColor="text1"/>
          <w:lang w:val="en-US"/>
        </w:rPr>
        <w:t>:</w:t>
      </w:r>
    </w:p>
    <w:p w14:paraId="5C667DF6" w14:textId="49F5325D" w:rsidR="0075118F" w:rsidRPr="00D73A1E" w:rsidRDefault="0075118F" w:rsidP="00D73A1E">
      <w:pPr>
        <w:pStyle w:val="SingleTxtG"/>
        <w:ind w:firstLine="567"/>
        <w:rPr>
          <w:b/>
          <w:bCs/>
          <w:color w:val="000000" w:themeColor="text1"/>
          <w:lang w:val="en-SG"/>
        </w:rPr>
      </w:pPr>
      <w:r w:rsidRPr="00D73A1E">
        <w:rPr>
          <w:b/>
          <w:bCs/>
          <w:color w:val="000000" w:themeColor="text1"/>
          <w:lang w:val="en-US"/>
        </w:rPr>
        <w:tab/>
      </w:r>
      <w:r w:rsidRPr="00D73A1E">
        <w:rPr>
          <w:b/>
          <w:color w:val="000000" w:themeColor="text1"/>
          <w:lang w:val="en-US"/>
        </w:rPr>
        <w:t>(a)</w:t>
      </w:r>
      <w:r w:rsidR="00D73A1E" w:rsidRPr="00D73A1E">
        <w:rPr>
          <w:b/>
          <w:color w:val="000000" w:themeColor="text1"/>
          <w:lang w:val="en-US"/>
        </w:rPr>
        <w:tab/>
      </w:r>
      <w:r w:rsidRPr="00D73A1E">
        <w:rPr>
          <w:b/>
          <w:bCs/>
          <w:color w:val="000000" w:themeColor="text1"/>
          <w:lang w:val="en-US"/>
        </w:rPr>
        <w:t xml:space="preserve">Ensure the right of persons with disabilities to live </w:t>
      </w:r>
      <w:r w:rsidRPr="00D73A1E">
        <w:rPr>
          <w:b/>
          <w:bCs/>
          <w:color w:val="000000" w:themeColor="text1"/>
          <w:lang w:val="en-SG"/>
        </w:rPr>
        <w:t xml:space="preserve">independently, and their freedom to choose where and with whom to live, preventing any type of </w:t>
      </w:r>
      <w:r w:rsidR="00E70002">
        <w:rPr>
          <w:b/>
          <w:bCs/>
          <w:color w:val="000000" w:themeColor="text1"/>
          <w:lang w:val="en-SG"/>
        </w:rPr>
        <w:t xml:space="preserve">congregated </w:t>
      </w:r>
      <w:r w:rsidRPr="00D73A1E">
        <w:rPr>
          <w:b/>
          <w:bCs/>
          <w:color w:val="000000" w:themeColor="text1"/>
          <w:lang w:val="en-SG"/>
        </w:rPr>
        <w:t>living arrangements</w:t>
      </w:r>
      <w:r w:rsidR="00DF6755" w:rsidRPr="00D73A1E">
        <w:rPr>
          <w:b/>
          <w:bCs/>
          <w:color w:val="000000" w:themeColor="text1"/>
          <w:lang w:val="en-SG"/>
        </w:rPr>
        <w:t>, including “family-like environments”</w:t>
      </w:r>
      <w:r w:rsidR="00387AE8" w:rsidRPr="00D73A1E">
        <w:rPr>
          <w:b/>
          <w:bCs/>
          <w:color w:val="000000" w:themeColor="text1"/>
          <w:lang w:val="en-SG"/>
        </w:rPr>
        <w:t>,</w:t>
      </w:r>
      <w:r w:rsidRPr="00D73A1E">
        <w:rPr>
          <w:b/>
          <w:bCs/>
          <w:color w:val="000000" w:themeColor="text1"/>
          <w:lang w:val="en-SG"/>
        </w:rPr>
        <w:t xml:space="preserve"> </w:t>
      </w:r>
      <w:r w:rsidR="006472DD" w:rsidRPr="00D73A1E">
        <w:rPr>
          <w:b/>
          <w:bCs/>
          <w:color w:val="000000" w:themeColor="text1"/>
          <w:lang w:val="en-SG"/>
        </w:rPr>
        <w:t xml:space="preserve">which </w:t>
      </w:r>
      <w:r w:rsidRPr="00D73A1E">
        <w:rPr>
          <w:b/>
          <w:bCs/>
          <w:color w:val="000000" w:themeColor="text1"/>
          <w:lang w:val="en-SG"/>
        </w:rPr>
        <w:t>reproduce isolation and institutionalisation</w:t>
      </w:r>
      <w:r w:rsidR="00387AE8" w:rsidRPr="00D73A1E">
        <w:rPr>
          <w:b/>
          <w:bCs/>
          <w:color w:val="000000" w:themeColor="text1"/>
          <w:lang w:val="en-SG"/>
        </w:rPr>
        <w:t>, and that it</w:t>
      </w:r>
      <w:r w:rsidRPr="00D73A1E">
        <w:rPr>
          <w:b/>
          <w:bCs/>
          <w:color w:val="000000" w:themeColor="text1"/>
          <w:lang w:val="en-SG"/>
        </w:rPr>
        <w:t xml:space="preserve"> </w:t>
      </w:r>
      <w:proofErr w:type="gramStart"/>
      <w:r w:rsidRPr="00D73A1E">
        <w:rPr>
          <w:b/>
          <w:bCs/>
          <w:color w:val="000000" w:themeColor="text1"/>
          <w:lang w:val="en-SG"/>
        </w:rPr>
        <w:t>redirect</w:t>
      </w:r>
      <w:proofErr w:type="gramEnd"/>
      <w:r w:rsidRPr="00D73A1E">
        <w:rPr>
          <w:b/>
          <w:bCs/>
          <w:color w:val="000000" w:themeColor="text1"/>
          <w:lang w:val="en-SG"/>
        </w:rPr>
        <w:t xml:space="preserve"> resources from</w:t>
      </w:r>
      <w:r w:rsidR="00387AE8" w:rsidRPr="00D73A1E">
        <w:rPr>
          <w:b/>
          <w:bCs/>
          <w:color w:val="000000" w:themeColor="text1"/>
          <w:lang w:val="en-SG"/>
        </w:rPr>
        <w:t xml:space="preserve"> institutions, including</w:t>
      </w:r>
      <w:r w:rsidRPr="00D73A1E">
        <w:rPr>
          <w:b/>
          <w:bCs/>
          <w:color w:val="000000" w:themeColor="text1"/>
          <w:lang w:val="en-SG"/>
        </w:rPr>
        <w:t xml:space="preserve"> small size institutions</w:t>
      </w:r>
      <w:r w:rsidR="00387AE8" w:rsidRPr="00D73A1E">
        <w:rPr>
          <w:b/>
          <w:bCs/>
          <w:color w:val="000000" w:themeColor="text1"/>
          <w:lang w:val="en-SG"/>
        </w:rPr>
        <w:t>,</w:t>
      </w:r>
      <w:r w:rsidRPr="00D73A1E">
        <w:rPr>
          <w:b/>
          <w:bCs/>
          <w:color w:val="000000" w:themeColor="text1"/>
          <w:lang w:val="en-SG"/>
        </w:rPr>
        <w:t xml:space="preserve"> towards support for living in the community;  </w:t>
      </w:r>
    </w:p>
    <w:p w14:paraId="62FB2945" w14:textId="6F35F0F5" w:rsidR="0075118F" w:rsidRPr="00D73A1E" w:rsidRDefault="0075118F" w:rsidP="00D73A1E">
      <w:pPr>
        <w:pStyle w:val="SingleTxtG"/>
        <w:ind w:firstLine="567"/>
        <w:rPr>
          <w:b/>
          <w:bCs/>
          <w:color w:val="000000" w:themeColor="text1"/>
          <w:lang w:val="en-US"/>
        </w:rPr>
      </w:pPr>
      <w:r w:rsidRPr="00D73A1E">
        <w:rPr>
          <w:b/>
          <w:bCs/>
          <w:color w:val="000000" w:themeColor="text1"/>
          <w:lang w:val="en-US"/>
        </w:rPr>
        <w:tab/>
      </w:r>
      <w:r w:rsidRPr="00D73A1E">
        <w:rPr>
          <w:b/>
          <w:color w:val="000000" w:themeColor="text1"/>
          <w:lang w:val="en-US"/>
        </w:rPr>
        <w:t>(b)</w:t>
      </w:r>
      <w:r w:rsidRPr="00D73A1E">
        <w:rPr>
          <w:b/>
          <w:color w:val="000000" w:themeColor="text1"/>
          <w:lang w:val="en-US"/>
        </w:rPr>
        <w:tab/>
      </w:r>
      <w:r w:rsidR="00387AE8" w:rsidRPr="00D73A1E">
        <w:rPr>
          <w:b/>
          <w:bCs/>
          <w:color w:val="000000" w:themeColor="text1"/>
          <w:lang w:val="en-US"/>
        </w:rPr>
        <w:t>Develop and i</w:t>
      </w:r>
      <w:r w:rsidRPr="00D73A1E">
        <w:rPr>
          <w:b/>
          <w:bCs/>
          <w:color w:val="000000" w:themeColor="text1"/>
          <w:lang w:val="en-US"/>
        </w:rPr>
        <w:t xml:space="preserve">mplement </w:t>
      </w:r>
      <w:r w:rsidR="00387AE8" w:rsidRPr="00D73A1E">
        <w:rPr>
          <w:b/>
          <w:bCs/>
          <w:color w:val="000000" w:themeColor="text1"/>
          <w:lang w:val="en-US"/>
        </w:rPr>
        <w:t xml:space="preserve">a </w:t>
      </w:r>
      <w:r w:rsidR="002430B8" w:rsidRPr="00D73A1E">
        <w:rPr>
          <w:b/>
          <w:bCs/>
          <w:color w:val="000000" w:themeColor="text1"/>
          <w:lang w:val="en-US"/>
        </w:rPr>
        <w:t>deinstitutionalization</w:t>
      </w:r>
      <w:r w:rsidRPr="00D73A1E">
        <w:rPr>
          <w:b/>
          <w:bCs/>
          <w:color w:val="000000" w:themeColor="text1"/>
          <w:lang w:val="en-US"/>
        </w:rPr>
        <w:t xml:space="preserve"> strategy, </w:t>
      </w:r>
      <w:r w:rsidR="00387AE8" w:rsidRPr="00D73A1E">
        <w:rPr>
          <w:b/>
          <w:bCs/>
          <w:color w:val="000000" w:themeColor="text1"/>
          <w:lang w:val="en-US"/>
        </w:rPr>
        <w:t xml:space="preserve">with the active </w:t>
      </w:r>
      <w:r w:rsidRPr="00D73A1E">
        <w:rPr>
          <w:b/>
          <w:bCs/>
          <w:color w:val="000000" w:themeColor="text1"/>
          <w:lang w:val="en-US"/>
        </w:rPr>
        <w:t>involvement of organizations of persons with disabilities, with clear time frames</w:t>
      </w:r>
      <w:r w:rsidR="00387AE8" w:rsidRPr="00D73A1E">
        <w:rPr>
          <w:b/>
          <w:bCs/>
          <w:color w:val="000000" w:themeColor="text1"/>
          <w:lang w:val="en-US"/>
        </w:rPr>
        <w:t xml:space="preserve"> and budgetary allocation</w:t>
      </w:r>
      <w:r w:rsidRPr="00D73A1E">
        <w:rPr>
          <w:b/>
          <w:bCs/>
          <w:color w:val="000000" w:themeColor="text1"/>
          <w:lang w:val="en-US"/>
        </w:rPr>
        <w:t xml:space="preserve">, </w:t>
      </w:r>
      <w:r w:rsidR="00387AE8" w:rsidRPr="00D73A1E">
        <w:rPr>
          <w:b/>
          <w:bCs/>
          <w:color w:val="000000" w:themeColor="text1"/>
          <w:lang w:val="en-US"/>
        </w:rPr>
        <w:t xml:space="preserve">extending to </w:t>
      </w:r>
      <w:r w:rsidRPr="00D73A1E">
        <w:rPr>
          <w:b/>
          <w:bCs/>
          <w:color w:val="000000" w:themeColor="text1"/>
          <w:lang w:val="en-US"/>
        </w:rPr>
        <w:t xml:space="preserve">all persons with disabilities regardless of age, gender or type of impairment, </w:t>
      </w:r>
      <w:r w:rsidR="00387AE8" w:rsidRPr="00D73A1E">
        <w:rPr>
          <w:b/>
          <w:bCs/>
          <w:color w:val="000000" w:themeColor="text1"/>
          <w:lang w:val="en-US"/>
        </w:rPr>
        <w:t xml:space="preserve">containing </w:t>
      </w:r>
      <w:r w:rsidRPr="00D73A1E">
        <w:rPr>
          <w:b/>
          <w:bCs/>
          <w:color w:val="000000" w:themeColor="text1"/>
          <w:lang w:val="en-US"/>
        </w:rPr>
        <w:t>measures to develop independent living skills</w:t>
      </w:r>
      <w:r w:rsidR="00387AE8" w:rsidRPr="00D73A1E">
        <w:rPr>
          <w:b/>
          <w:bCs/>
          <w:color w:val="000000" w:themeColor="text1"/>
          <w:lang w:val="en-US"/>
        </w:rPr>
        <w:t xml:space="preserve"> and</w:t>
      </w:r>
      <w:r w:rsidR="00174204" w:rsidRPr="00D73A1E">
        <w:rPr>
          <w:b/>
          <w:bCs/>
          <w:color w:val="000000" w:themeColor="text1"/>
          <w:lang w:val="en-US"/>
        </w:rPr>
        <w:t xml:space="preserve"> </w:t>
      </w:r>
      <w:r w:rsidRPr="00D73A1E">
        <w:rPr>
          <w:b/>
          <w:bCs/>
          <w:color w:val="000000" w:themeColor="text1"/>
          <w:lang w:val="en-US"/>
        </w:rPr>
        <w:t>to facilitate</w:t>
      </w:r>
      <w:r w:rsidR="00387AE8" w:rsidRPr="00D73A1E">
        <w:rPr>
          <w:b/>
          <w:bCs/>
          <w:color w:val="000000" w:themeColor="text1"/>
          <w:lang w:val="en-US"/>
        </w:rPr>
        <w:t xml:space="preserve"> the</w:t>
      </w:r>
      <w:r w:rsidRPr="00D73A1E">
        <w:rPr>
          <w:b/>
          <w:bCs/>
          <w:color w:val="000000" w:themeColor="text1"/>
          <w:lang w:val="en-US"/>
        </w:rPr>
        <w:t xml:space="preserve"> transition between institutional settings and li</w:t>
      </w:r>
      <w:r w:rsidR="00387AE8" w:rsidRPr="00D73A1E">
        <w:rPr>
          <w:b/>
          <w:bCs/>
          <w:color w:val="000000" w:themeColor="text1"/>
          <w:lang w:val="en-US"/>
        </w:rPr>
        <w:t>f</w:t>
      </w:r>
      <w:r w:rsidRPr="00D73A1E">
        <w:rPr>
          <w:b/>
          <w:bCs/>
          <w:color w:val="000000" w:themeColor="text1"/>
          <w:lang w:val="en-US"/>
        </w:rPr>
        <w:t xml:space="preserve">e in the </w:t>
      </w:r>
      <w:proofErr w:type="gramStart"/>
      <w:r w:rsidRPr="00D73A1E">
        <w:rPr>
          <w:b/>
          <w:bCs/>
          <w:color w:val="000000" w:themeColor="text1"/>
          <w:lang w:val="en-US"/>
        </w:rPr>
        <w:t>community;</w:t>
      </w:r>
      <w:proofErr w:type="gramEnd"/>
      <w:r w:rsidRPr="00D73A1E">
        <w:rPr>
          <w:b/>
          <w:bCs/>
          <w:color w:val="000000" w:themeColor="text1"/>
          <w:lang w:val="en-SG"/>
        </w:rPr>
        <w:t xml:space="preserve"> </w:t>
      </w:r>
    </w:p>
    <w:p w14:paraId="586B3347" w14:textId="1C8D3D3E" w:rsidR="0075118F" w:rsidRPr="00D73A1E" w:rsidRDefault="0075118F" w:rsidP="00D73A1E">
      <w:pPr>
        <w:pStyle w:val="SingleTxtG"/>
        <w:ind w:firstLine="567"/>
        <w:rPr>
          <w:b/>
          <w:bCs/>
          <w:color w:val="000000" w:themeColor="text1"/>
          <w:lang w:val="en-US"/>
        </w:rPr>
      </w:pPr>
      <w:r w:rsidRPr="00D73A1E">
        <w:rPr>
          <w:b/>
          <w:color w:val="000000" w:themeColor="text1"/>
          <w:lang w:val="en-US"/>
        </w:rPr>
        <w:tab/>
        <w:t>(c)</w:t>
      </w:r>
      <w:r w:rsidR="00D73A1E">
        <w:rPr>
          <w:b/>
          <w:color w:val="000000" w:themeColor="text1"/>
          <w:lang w:val="en-US"/>
        </w:rPr>
        <w:tab/>
      </w:r>
      <w:r w:rsidRPr="00D73A1E">
        <w:rPr>
          <w:b/>
          <w:bCs/>
          <w:color w:val="000000" w:themeColor="text1"/>
          <w:lang w:val="en-US"/>
        </w:rPr>
        <w:t xml:space="preserve">Strengthen measures to develop community-based services and individualized forms of support, ensuring even geographical coverage of </w:t>
      </w:r>
      <w:r w:rsidR="00387AE8" w:rsidRPr="00D73A1E">
        <w:rPr>
          <w:b/>
          <w:bCs/>
          <w:color w:val="000000" w:themeColor="text1"/>
          <w:lang w:val="en-US"/>
        </w:rPr>
        <w:t>all</w:t>
      </w:r>
      <w:r w:rsidRPr="00D73A1E">
        <w:rPr>
          <w:b/>
          <w:bCs/>
          <w:color w:val="000000" w:themeColor="text1"/>
          <w:lang w:val="en-US"/>
        </w:rPr>
        <w:t xml:space="preserve"> support</w:t>
      </w:r>
      <w:r w:rsidR="00387AE8" w:rsidRPr="00D73A1E">
        <w:rPr>
          <w:b/>
          <w:bCs/>
          <w:color w:val="000000" w:themeColor="text1"/>
          <w:lang w:val="en-US"/>
        </w:rPr>
        <w:t xml:space="preserve"> measures,</w:t>
      </w:r>
      <w:r w:rsidRPr="00D73A1E">
        <w:rPr>
          <w:b/>
          <w:bCs/>
          <w:color w:val="000000" w:themeColor="text1"/>
          <w:lang w:val="en-US"/>
        </w:rPr>
        <w:t xml:space="preserve"> such as peer support groups</w:t>
      </w:r>
      <w:r w:rsidR="00387AE8" w:rsidRPr="00D73A1E">
        <w:rPr>
          <w:b/>
          <w:bCs/>
          <w:color w:val="000000" w:themeColor="text1"/>
          <w:lang w:val="en-US"/>
        </w:rPr>
        <w:t xml:space="preserve"> or</w:t>
      </w:r>
      <w:r w:rsidRPr="00D73A1E">
        <w:rPr>
          <w:b/>
          <w:bCs/>
          <w:color w:val="000000" w:themeColor="text1"/>
          <w:lang w:val="en-US"/>
        </w:rPr>
        <w:t xml:space="preserve"> cash transfers/personal </w:t>
      </w:r>
      <w:proofErr w:type="gramStart"/>
      <w:r w:rsidRPr="00D73A1E">
        <w:rPr>
          <w:b/>
          <w:bCs/>
          <w:color w:val="000000" w:themeColor="text1"/>
          <w:lang w:val="en-US"/>
        </w:rPr>
        <w:t>budgets</w:t>
      </w:r>
      <w:r w:rsidR="00B73C9E" w:rsidRPr="00D73A1E">
        <w:rPr>
          <w:b/>
          <w:bCs/>
          <w:color w:val="000000" w:themeColor="text1"/>
          <w:lang w:val="en-US"/>
        </w:rPr>
        <w:t>;</w:t>
      </w:r>
      <w:proofErr w:type="gramEnd"/>
    </w:p>
    <w:p w14:paraId="239B0442" w14:textId="5DF4694E" w:rsidR="0075118F" w:rsidRPr="00D73A1E" w:rsidRDefault="0075118F" w:rsidP="00D73A1E">
      <w:pPr>
        <w:pStyle w:val="SingleTxtG"/>
        <w:ind w:firstLine="567"/>
        <w:rPr>
          <w:b/>
          <w:bCs/>
          <w:color w:val="000000" w:themeColor="text1"/>
          <w:lang w:val="en-US"/>
        </w:rPr>
      </w:pPr>
      <w:r w:rsidRPr="00D73A1E">
        <w:rPr>
          <w:b/>
          <w:color w:val="000000" w:themeColor="text1"/>
          <w:lang w:val="en-US"/>
        </w:rPr>
        <w:tab/>
      </w:r>
      <w:bookmarkStart w:id="2" w:name="_Hlk130319185"/>
      <w:r w:rsidRPr="00D73A1E">
        <w:rPr>
          <w:b/>
          <w:color w:val="000000" w:themeColor="text1"/>
          <w:lang w:val="en-US"/>
        </w:rPr>
        <w:t>(d)</w:t>
      </w:r>
      <w:r w:rsidRPr="00D73A1E">
        <w:rPr>
          <w:b/>
          <w:color w:val="000000" w:themeColor="text1"/>
          <w:lang w:val="en-US"/>
        </w:rPr>
        <w:tab/>
      </w:r>
      <w:bookmarkStart w:id="3" w:name="_Hlk130319253"/>
      <w:r w:rsidR="00387AE8" w:rsidRPr="00D73A1E">
        <w:rPr>
          <w:b/>
          <w:bCs/>
          <w:color w:val="000000" w:themeColor="text1"/>
          <w:lang w:val="en-US"/>
        </w:rPr>
        <w:t>Establish</w:t>
      </w:r>
      <w:r w:rsidRPr="00D73A1E">
        <w:rPr>
          <w:b/>
          <w:bCs/>
          <w:color w:val="000000" w:themeColor="text1"/>
          <w:lang w:val="en-US"/>
        </w:rPr>
        <w:t xml:space="preserve"> an accessible and affordable housing strategy</w:t>
      </w:r>
      <w:r w:rsidR="00387AE8" w:rsidRPr="00D73A1E">
        <w:rPr>
          <w:b/>
          <w:bCs/>
          <w:color w:val="000000" w:themeColor="text1"/>
          <w:lang w:val="en-US"/>
        </w:rPr>
        <w:t xml:space="preserve"> for living in the community,</w:t>
      </w:r>
      <w:bookmarkEnd w:id="3"/>
      <w:r w:rsidRPr="00D73A1E">
        <w:rPr>
          <w:b/>
          <w:bCs/>
          <w:color w:val="000000" w:themeColor="text1"/>
          <w:lang w:val="en-US"/>
        </w:rPr>
        <w:t xml:space="preserve"> </w:t>
      </w:r>
      <w:r w:rsidR="00E030EB" w:rsidRPr="00D73A1E">
        <w:rPr>
          <w:b/>
          <w:bCs/>
          <w:color w:val="000000" w:themeColor="text1"/>
          <w:lang w:val="en-US"/>
        </w:rPr>
        <w:t xml:space="preserve">including </w:t>
      </w:r>
      <w:r w:rsidR="00643B37" w:rsidRPr="00D73A1E">
        <w:rPr>
          <w:b/>
          <w:bCs/>
          <w:color w:val="000000" w:themeColor="text1"/>
          <w:lang w:val="en-US"/>
        </w:rPr>
        <w:t xml:space="preserve">the </w:t>
      </w:r>
      <w:r w:rsidR="00E030EB" w:rsidRPr="00D73A1E">
        <w:rPr>
          <w:b/>
          <w:bCs/>
          <w:color w:val="000000" w:themeColor="text1"/>
          <w:lang w:val="en-US"/>
        </w:rPr>
        <w:t>allocation</w:t>
      </w:r>
      <w:r w:rsidR="00643B37" w:rsidRPr="00D73A1E">
        <w:rPr>
          <w:b/>
          <w:bCs/>
          <w:color w:val="000000" w:themeColor="text1"/>
          <w:lang w:val="en-US"/>
        </w:rPr>
        <w:t xml:space="preserve"> of resources</w:t>
      </w:r>
      <w:r w:rsidR="00E030EB" w:rsidRPr="00D73A1E">
        <w:rPr>
          <w:b/>
          <w:bCs/>
          <w:color w:val="000000" w:themeColor="text1"/>
          <w:lang w:val="en-US"/>
        </w:rPr>
        <w:t xml:space="preserve"> for the adaptation of housing infrastructure </w:t>
      </w:r>
      <w:bookmarkStart w:id="4" w:name="_Hlk130319273"/>
      <w:r w:rsidRPr="00D73A1E">
        <w:rPr>
          <w:b/>
          <w:bCs/>
          <w:color w:val="000000" w:themeColor="text1"/>
          <w:lang w:val="en-US"/>
        </w:rPr>
        <w:t>in rural and urban areas that allows adults with disabilities to choose where and with whom they live</w:t>
      </w:r>
      <w:r w:rsidR="00387AE8" w:rsidRPr="00D73A1E">
        <w:rPr>
          <w:b/>
          <w:bCs/>
          <w:color w:val="000000" w:themeColor="text1"/>
          <w:lang w:val="en-US"/>
        </w:rPr>
        <w:t>,</w:t>
      </w:r>
      <w:r w:rsidRPr="00D73A1E">
        <w:rPr>
          <w:b/>
          <w:bCs/>
          <w:color w:val="000000" w:themeColor="text1"/>
          <w:lang w:val="en-US"/>
        </w:rPr>
        <w:t xml:space="preserve"> on an equal basis with others</w:t>
      </w:r>
      <w:bookmarkEnd w:id="4"/>
      <w:r w:rsidR="00E70002">
        <w:rPr>
          <w:b/>
          <w:bCs/>
          <w:color w:val="000000" w:themeColor="text1"/>
          <w:lang w:val="en-US"/>
        </w:rPr>
        <w:t xml:space="preserve"> and avoiding small</w:t>
      </w:r>
      <w:r w:rsidR="00384E6D">
        <w:rPr>
          <w:b/>
          <w:bCs/>
          <w:color w:val="000000" w:themeColor="text1"/>
          <w:lang w:val="en-US"/>
        </w:rPr>
        <w:t>-</w:t>
      </w:r>
      <w:r w:rsidR="00E70002">
        <w:rPr>
          <w:b/>
          <w:bCs/>
          <w:color w:val="000000" w:themeColor="text1"/>
          <w:lang w:val="en-US"/>
        </w:rPr>
        <w:t>congregated settings</w:t>
      </w:r>
      <w:r w:rsidR="003418DC" w:rsidRPr="00D73A1E">
        <w:rPr>
          <w:b/>
          <w:bCs/>
          <w:color w:val="000000" w:themeColor="text1"/>
          <w:lang w:val="en-US"/>
        </w:rPr>
        <w:t xml:space="preserve">. </w:t>
      </w:r>
      <w:bookmarkStart w:id="5" w:name="_Hlk130319855"/>
      <w:r w:rsidR="003418DC" w:rsidRPr="00D73A1E">
        <w:rPr>
          <w:b/>
          <w:bCs/>
          <w:color w:val="000000" w:themeColor="text1"/>
          <w:lang w:val="en-US"/>
        </w:rPr>
        <w:t>A</w:t>
      </w:r>
      <w:r w:rsidR="00E030EB" w:rsidRPr="00D73A1E">
        <w:rPr>
          <w:b/>
          <w:bCs/>
          <w:color w:val="000000" w:themeColor="text1"/>
          <w:lang w:val="en-US"/>
        </w:rPr>
        <w:t>dopt</w:t>
      </w:r>
      <w:r w:rsidR="003418DC" w:rsidRPr="00D73A1E">
        <w:rPr>
          <w:b/>
          <w:bCs/>
          <w:color w:val="000000" w:themeColor="text1"/>
          <w:lang w:val="en-US"/>
        </w:rPr>
        <w:t xml:space="preserve"> a monitoring strategy with</w:t>
      </w:r>
      <w:r w:rsidR="00E030EB" w:rsidRPr="00D73A1E">
        <w:rPr>
          <w:b/>
          <w:bCs/>
          <w:color w:val="000000" w:themeColor="text1"/>
          <w:lang w:val="en-US"/>
        </w:rPr>
        <w:t xml:space="preserve"> </w:t>
      </w:r>
      <w:r w:rsidRPr="00D73A1E">
        <w:rPr>
          <w:b/>
          <w:bCs/>
          <w:color w:val="000000" w:themeColor="text1"/>
          <w:lang w:val="en-US"/>
        </w:rPr>
        <w:t>benchmarks</w:t>
      </w:r>
      <w:r w:rsidR="003418DC" w:rsidRPr="00D73A1E">
        <w:rPr>
          <w:b/>
          <w:bCs/>
          <w:color w:val="000000" w:themeColor="text1"/>
          <w:lang w:val="en-US"/>
        </w:rPr>
        <w:t xml:space="preserve"> </w:t>
      </w:r>
      <w:r w:rsidR="00643B37" w:rsidRPr="00D73A1E">
        <w:rPr>
          <w:b/>
          <w:bCs/>
          <w:color w:val="000000" w:themeColor="text1"/>
          <w:lang w:val="en-US"/>
        </w:rPr>
        <w:t>to assess</w:t>
      </w:r>
      <w:r w:rsidR="003418DC" w:rsidRPr="00D73A1E">
        <w:rPr>
          <w:b/>
          <w:bCs/>
          <w:color w:val="000000" w:themeColor="text1"/>
          <w:lang w:val="en-US"/>
        </w:rPr>
        <w:t xml:space="preserve"> the </w:t>
      </w:r>
      <w:r w:rsidR="00643B37" w:rsidRPr="00D73A1E">
        <w:rPr>
          <w:b/>
          <w:bCs/>
          <w:color w:val="000000" w:themeColor="text1"/>
          <w:lang w:val="en-US"/>
        </w:rPr>
        <w:t>achievements</w:t>
      </w:r>
      <w:r w:rsidR="003418DC" w:rsidRPr="00D73A1E">
        <w:rPr>
          <w:b/>
          <w:bCs/>
          <w:color w:val="000000" w:themeColor="text1"/>
          <w:lang w:val="en-US"/>
        </w:rPr>
        <w:t xml:space="preserve"> of </w:t>
      </w:r>
      <w:r w:rsidRPr="00D73A1E">
        <w:rPr>
          <w:b/>
          <w:bCs/>
          <w:color w:val="000000" w:themeColor="text1"/>
          <w:lang w:val="en-US"/>
        </w:rPr>
        <w:t xml:space="preserve">housing </w:t>
      </w:r>
      <w:proofErr w:type="gramStart"/>
      <w:r w:rsidRPr="00D73A1E">
        <w:rPr>
          <w:b/>
          <w:bCs/>
          <w:color w:val="000000" w:themeColor="text1"/>
          <w:lang w:val="en-US"/>
        </w:rPr>
        <w:t>programs</w:t>
      </w:r>
      <w:bookmarkEnd w:id="5"/>
      <w:r w:rsidR="00FE2597" w:rsidRPr="00D73A1E">
        <w:rPr>
          <w:b/>
          <w:bCs/>
          <w:color w:val="000000" w:themeColor="text1"/>
          <w:lang w:val="en-US"/>
        </w:rPr>
        <w:t>;</w:t>
      </w:r>
      <w:bookmarkEnd w:id="2"/>
      <w:proofErr w:type="gramEnd"/>
    </w:p>
    <w:p w14:paraId="0CFF2D2C" w14:textId="2A3600FE" w:rsidR="0075118F" w:rsidRPr="00502ECB" w:rsidRDefault="0075118F" w:rsidP="00D73A1E">
      <w:pPr>
        <w:pStyle w:val="SingleTxtG"/>
        <w:ind w:firstLine="567"/>
        <w:rPr>
          <w:b/>
          <w:bCs/>
          <w:color w:val="000000" w:themeColor="text1"/>
          <w:lang w:val="en-US"/>
        </w:rPr>
      </w:pPr>
      <w:r w:rsidRPr="00D73A1E">
        <w:rPr>
          <w:b/>
          <w:bCs/>
          <w:color w:val="000000" w:themeColor="text1"/>
          <w:lang w:val="en-US"/>
        </w:rPr>
        <w:tab/>
      </w:r>
      <w:r w:rsidRPr="00D73A1E">
        <w:rPr>
          <w:b/>
          <w:color w:val="000000" w:themeColor="text1"/>
          <w:lang w:val="en-US"/>
        </w:rPr>
        <w:t>(e)</w:t>
      </w:r>
      <w:r w:rsidRPr="00502ECB">
        <w:rPr>
          <w:color w:val="000000" w:themeColor="text1"/>
          <w:lang w:val="en-US"/>
        </w:rPr>
        <w:tab/>
      </w:r>
      <w:r w:rsidRPr="00502ECB">
        <w:rPr>
          <w:b/>
          <w:bCs/>
          <w:color w:val="000000" w:themeColor="text1"/>
          <w:lang w:val="en-US"/>
        </w:rPr>
        <w:t xml:space="preserve">Ensure </w:t>
      </w:r>
      <w:r w:rsidR="00DF6755" w:rsidRPr="00502ECB">
        <w:rPr>
          <w:b/>
          <w:bCs/>
          <w:color w:val="000000" w:themeColor="text1"/>
          <w:lang w:val="en-US"/>
        </w:rPr>
        <w:t>availability</w:t>
      </w:r>
      <w:r w:rsidR="00FE2597" w:rsidRPr="00502ECB">
        <w:rPr>
          <w:b/>
          <w:bCs/>
          <w:color w:val="000000" w:themeColor="text1"/>
          <w:lang w:val="en-US"/>
        </w:rPr>
        <w:t>,</w:t>
      </w:r>
      <w:r w:rsidR="00DF6755" w:rsidRPr="00502ECB">
        <w:rPr>
          <w:b/>
          <w:bCs/>
          <w:color w:val="000000" w:themeColor="text1"/>
          <w:lang w:val="en-US"/>
        </w:rPr>
        <w:t xml:space="preserve"> accessibility, </w:t>
      </w:r>
      <w:proofErr w:type="gramStart"/>
      <w:r w:rsidR="00DF6755" w:rsidRPr="00502ECB">
        <w:rPr>
          <w:b/>
          <w:bCs/>
          <w:color w:val="000000" w:themeColor="text1"/>
          <w:lang w:val="en-US"/>
        </w:rPr>
        <w:t>affordability</w:t>
      </w:r>
      <w:proofErr w:type="gramEnd"/>
      <w:r w:rsidR="00DF6755" w:rsidRPr="00502ECB">
        <w:rPr>
          <w:b/>
          <w:bCs/>
          <w:color w:val="000000" w:themeColor="text1"/>
          <w:lang w:val="en-US"/>
        </w:rPr>
        <w:t xml:space="preserve"> and adaptability of </w:t>
      </w:r>
      <w:r w:rsidR="00B66FFF" w:rsidRPr="00502ECB">
        <w:rPr>
          <w:b/>
          <w:bCs/>
          <w:color w:val="000000" w:themeColor="text1"/>
          <w:lang w:val="en-US"/>
        </w:rPr>
        <w:t xml:space="preserve">services in the community, including </w:t>
      </w:r>
      <w:r w:rsidRPr="00502ECB">
        <w:rPr>
          <w:b/>
          <w:bCs/>
          <w:color w:val="000000" w:themeColor="text1"/>
          <w:lang w:val="en-US"/>
        </w:rPr>
        <w:t xml:space="preserve">education, health care, participation in political and public life, rehabilitation, and remove segregated services. </w:t>
      </w:r>
    </w:p>
    <w:p w14:paraId="0ACD73C9" w14:textId="43CB9EBD" w:rsidR="00DF7070" w:rsidRPr="00502ECB" w:rsidRDefault="00DF7070" w:rsidP="00DF7070">
      <w:pPr>
        <w:pStyle w:val="H23G"/>
        <w:outlineLvl w:val="2"/>
      </w:pPr>
      <w:r w:rsidRPr="00502ECB">
        <w:tab/>
      </w:r>
      <w:r w:rsidRPr="00502ECB">
        <w:tab/>
        <w:t>Personal mobility (art. 20)</w:t>
      </w:r>
    </w:p>
    <w:p w14:paraId="06DF8EA2" w14:textId="7A980B8F" w:rsidR="00DF7070" w:rsidRPr="00502ECB" w:rsidRDefault="00DF7070" w:rsidP="00655E1D">
      <w:pPr>
        <w:pStyle w:val="SingleTxtG"/>
        <w:rPr>
          <w:rFonts w:eastAsia="Arial"/>
          <w:color w:val="000000" w:themeColor="text1"/>
          <w:lang w:eastAsia="es-ES"/>
        </w:rPr>
      </w:pPr>
      <w:r w:rsidRPr="00502ECB">
        <w:t>41.</w:t>
      </w:r>
      <w:r w:rsidRPr="00502ECB">
        <w:tab/>
        <w:t>The Committee is concerned about the</w:t>
      </w:r>
      <w:r w:rsidRPr="00502ECB">
        <w:rPr>
          <w:rFonts w:eastAsia="Arial"/>
          <w:color w:val="000000" w:themeColor="text1"/>
          <w:lang w:eastAsia="es-ES"/>
        </w:rPr>
        <w:t xml:space="preserve"> </w:t>
      </w:r>
      <w:r w:rsidRPr="00502ECB">
        <w:t xml:space="preserve">lack of available and affordable assistive devices and related support services for all persons with disabilities. Particularly, it observes the </w:t>
      </w:r>
      <w:r w:rsidRPr="00502ECB">
        <w:rPr>
          <w:bCs/>
          <w:color w:val="000000" w:themeColor="text1"/>
          <w:shd w:val="clear" w:color="auto" w:fill="FFFFFF"/>
        </w:rPr>
        <w:t xml:space="preserve">limited coverage of the </w:t>
      </w:r>
      <w:r w:rsidRPr="00502ECB">
        <w:rPr>
          <w:rFonts w:eastAsia="SimSun"/>
          <w:color w:val="000000" w:themeColor="text1"/>
        </w:rPr>
        <w:t xml:space="preserve">wheelchair voucher scheme under the sub-program on the "provision of supporting </w:t>
      </w:r>
      <w:r w:rsidRPr="00502ECB">
        <w:rPr>
          <w:rFonts w:eastAsia="SimSun"/>
        </w:rPr>
        <w:t>equipment", which is restricted to one type of bus transport organization and accessible to only one type of wheelchair. It is also concerned that personal mobility in public transport is not ensured for persons with visual or hearing impairments.</w:t>
      </w:r>
    </w:p>
    <w:p w14:paraId="0DDE1C28" w14:textId="14BBB4B6" w:rsidR="00770FF5" w:rsidRPr="00502ECB" w:rsidRDefault="00DF7070" w:rsidP="00DF7070">
      <w:pPr>
        <w:pStyle w:val="SingleTxtG"/>
        <w:rPr>
          <w:b/>
          <w:bCs/>
          <w:color w:val="000000" w:themeColor="text1"/>
        </w:rPr>
      </w:pPr>
      <w:r w:rsidRPr="00502ECB">
        <w:rPr>
          <w:rFonts w:eastAsia="SimSun"/>
        </w:rPr>
        <w:tab/>
      </w:r>
      <w:r w:rsidRPr="00502ECB">
        <w:rPr>
          <w:color w:val="000000" w:themeColor="text1"/>
        </w:rPr>
        <w:t>42.</w:t>
      </w:r>
      <w:r w:rsidRPr="00502ECB">
        <w:rPr>
          <w:color w:val="000000" w:themeColor="text1"/>
        </w:rPr>
        <w:tab/>
      </w:r>
      <w:r w:rsidRPr="00502ECB">
        <w:rPr>
          <w:b/>
          <w:color w:val="000000" w:themeColor="text1"/>
        </w:rPr>
        <w:t xml:space="preserve">The Committee recommends that </w:t>
      </w:r>
      <w:r w:rsidRPr="00502ECB">
        <w:rPr>
          <w:b/>
          <w:bCs/>
          <w:color w:val="000000" w:themeColor="text1"/>
        </w:rPr>
        <w:t>the State party</w:t>
      </w:r>
      <w:r w:rsidR="00770FF5" w:rsidRPr="00502ECB">
        <w:rPr>
          <w:b/>
          <w:bCs/>
          <w:color w:val="000000" w:themeColor="text1"/>
        </w:rPr>
        <w:t>:</w:t>
      </w:r>
    </w:p>
    <w:p w14:paraId="00B6ED60" w14:textId="14FB6FF6" w:rsidR="00770FF5" w:rsidRPr="00D73A1E" w:rsidRDefault="00770FF5" w:rsidP="00770FF5">
      <w:pPr>
        <w:pStyle w:val="SingleTxtG"/>
        <w:ind w:firstLine="567"/>
        <w:rPr>
          <w:rFonts w:eastAsia="Calibri"/>
          <w:b/>
          <w:color w:val="000000"/>
        </w:rPr>
      </w:pPr>
      <w:r w:rsidRPr="00D73A1E">
        <w:rPr>
          <w:b/>
          <w:color w:val="000000" w:themeColor="text1"/>
        </w:rPr>
        <w:t>(a)</w:t>
      </w:r>
      <w:r w:rsidRPr="00D73A1E">
        <w:rPr>
          <w:b/>
          <w:bCs/>
          <w:color w:val="000000" w:themeColor="text1"/>
        </w:rPr>
        <w:tab/>
        <w:t>S</w:t>
      </w:r>
      <w:r w:rsidR="00DF7070" w:rsidRPr="00D73A1E">
        <w:rPr>
          <w:b/>
          <w:bCs/>
          <w:color w:val="000000" w:themeColor="text1"/>
        </w:rPr>
        <w:t>trengthen</w:t>
      </w:r>
      <w:r w:rsidR="00DF7070" w:rsidRPr="00D73A1E">
        <w:rPr>
          <w:b/>
          <w:bCs/>
        </w:rPr>
        <w:t xml:space="preserve"> its measures to ensure that </w:t>
      </w:r>
      <w:r w:rsidR="00DF7070" w:rsidRPr="00D73A1E">
        <w:rPr>
          <w:rFonts w:eastAsia="Calibri"/>
          <w:b/>
          <w:bCs/>
          <w:color w:val="000000"/>
        </w:rPr>
        <w:t xml:space="preserve">private entities providing transport services introduce a range of measures to facilitate personal mobility, such as guide dogs, </w:t>
      </w:r>
      <w:r w:rsidRPr="00D73A1E">
        <w:rPr>
          <w:rFonts w:eastAsia="Calibri"/>
          <w:b/>
          <w:bCs/>
          <w:color w:val="000000"/>
        </w:rPr>
        <w:t xml:space="preserve">mobility aids, devices, and live </w:t>
      </w:r>
      <w:proofErr w:type="gramStart"/>
      <w:r w:rsidRPr="00D73A1E">
        <w:rPr>
          <w:rFonts w:eastAsia="Calibri"/>
          <w:b/>
          <w:bCs/>
          <w:color w:val="000000"/>
        </w:rPr>
        <w:t>assistance;</w:t>
      </w:r>
      <w:proofErr w:type="gramEnd"/>
    </w:p>
    <w:p w14:paraId="5A95DA71" w14:textId="4A62E38A" w:rsidR="00DF7070" w:rsidRPr="00502ECB" w:rsidRDefault="00770FF5" w:rsidP="00770FF5">
      <w:pPr>
        <w:pStyle w:val="SingleTxtG"/>
        <w:ind w:firstLine="567"/>
        <w:rPr>
          <w:b/>
          <w:bCs/>
        </w:rPr>
      </w:pPr>
      <w:r w:rsidRPr="00D73A1E">
        <w:rPr>
          <w:b/>
        </w:rPr>
        <w:t>(b)</w:t>
      </w:r>
      <w:r w:rsidRPr="00D73A1E">
        <w:rPr>
          <w:b/>
          <w:bCs/>
        </w:rPr>
        <w:tab/>
        <w:t xml:space="preserve">Develop public policies at the national and municipal level to ensure the </w:t>
      </w:r>
      <w:r w:rsidR="00DF7070" w:rsidRPr="00D73A1E">
        <w:rPr>
          <w:b/>
          <w:bCs/>
        </w:rPr>
        <w:t>availability</w:t>
      </w:r>
      <w:r w:rsidR="00DF7070" w:rsidRPr="00502ECB">
        <w:rPr>
          <w:b/>
          <w:bCs/>
        </w:rPr>
        <w:t xml:space="preserve">, equal </w:t>
      </w:r>
      <w:proofErr w:type="gramStart"/>
      <w:r w:rsidR="00DF7070" w:rsidRPr="00502ECB">
        <w:rPr>
          <w:b/>
          <w:bCs/>
        </w:rPr>
        <w:t>distribution</w:t>
      </w:r>
      <w:proofErr w:type="gramEnd"/>
      <w:r w:rsidR="00DF7070" w:rsidRPr="00502ECB">
        <w:rPr>
          <w:b/>
          <w:bCs/>
        </w:rPr>
        <w:t xml:space="preserve"> and affordability of assistive devices for all persons with disabilities</w:t>
      </w:r>
      <w:r w:rsidR="000C4928" w:rsidRPr="00502ECB">
        <w:rPr>
          <w:b/>
          <w:bCs/>
        </w:rPr>
        <w:t xml:space="preserve"> and </w:t>
      </w:r>
      <w:r w:rsidR="00083B74" w:rsidRPr="00502ECB">
        <w:rPr>
          <w:b/>
          <w:bCs/>
        </w:rPr>
        <w:t>support the</w:t>
      </w:r>
      <w:r w:rsidR="000C4928" w:rsidRPr="00502ECB">
        <w:rPr>
          <w:b/>
          <w:bCs/>
        </w:rPr>
        <w:t xml:space="preserve"> development of mobility skills by children with disabilities</w:t>
      </w:r>
      <w:r w:rsidR="00DF7070" w:rsidRPr="00502ECB">
        <w:rPr>
          <w:b/>
          <w:bCs/>
        </w:rPr>
        <w:t>.</w:t>
      </w:r>
    </w:p>
    <w:p w14:paraId="1937DC5D" w14:textId="3ECC3AD1" w:rsidR="00C83E3A" w:rsidRPr="00502ECB" w:rsidRDefault="00C83E3A" w:rsidP="00C83E3A">
      <w:pPr>
        <w:pStyle w:val="H23G"/>
        <w:outlineLvl w:val="2"/>
      </w:pPr>
      <w:r w:rsidRPr="00502ECB">
        <w:tab/>
      </w:r>
      <w:r w:rsidRPr="00502ECB">
        <w:tab/>
        <w:t>Freedom of expression and opinion, and access to information (art. 21)</w:t>
      </w:r>
    </w:p>
    <w:p w14:paraId="143BE6F5" w14:textId="5159CCAC" w:rsidR="000E4CB1" w:rsidRPr="00502ECB" w:rsidRDefault="00C83E3A" w:rsidP="000E4CB1">
      <w:pPr>
        <w:pStyle w:val="SingleTxtG"/>
        <w:rPr>
          <w:lang w:val="en-US"/>
        </w:rPr>
      </w:pPr>
      <w:r w:rsidRPr="00502ECB">
        <w:rPr>
          <w:lang w:val="en-US"/>
        </w:rPr>
        <w:t>43.</w:t>
      </w:r>
      <w:r w:rsidRPr="00502ECB">
        <w:rPr>
          <w:lang w:val="en-US"/>
        </w:rPr>
        <w:tab/>
        <w:t xml:space="preserve">The Committee </w:t>
      </w:r>
      <w:r w:rsidR="000E4CB1" w:rsidRPr="00502ECB">
        <w:rPr>
          <w:lang w:val="en-US"/>
        </w:rPr>
        <w:t>observes with concern</w:t>
      </w:r>
      <w:r w:rsidRPr="00502ECB">
        <w:rPr>
          <w:lang w:val="en-US"/>
        </w:rPr>
        <w:t xml:space="preserve">: </w:t>
      </w:r>
    </w:p>
    <w:p w14:paraId="07B89042" w14:textId="23EF43BB" w:rsidR="000E4CB1" w:rsidRPr="00502ECB" w:rsidRDefault="000E4CB1" w:rsidP="00D73A1E">
      <w:pPr>
        <w:pStyle w:val="SingleTxtG"/>
        <w:ind w:firstLine="567"/>
        <w:rPr>
          <w:rFonts w:eastAsia="Calibri"/>
          <w:bCs/>
        </w:rPr>
      </w:pPr>
      <w:r w:rsidRPr="00502ECB">
        <w:rPr>
          <w:rFonts w:eastAsia="Calibri"/>
          <w:bCs/>
        </w:rPr>
        <w:tab/>
        <w:t>(a)</w:t>
      </w:r>
      <w:r w:rsidRPr="00502ECB">
        <w:rPr>
          <w:rFonts w:eastAsia="Calibri"/>
          <w:bCs/>
        </w:rPr>
        <w:tab/>
        <w:t>The absence of a national standard and effective monitoring of the accessibility of information</w:t>
      </w:r>
      <w:r w:rsidR="00225448" w:rsidRPr="00502ECB">
        <w:rPr>
          <w:rFonts w:eastAsia="Calibri"/>
          <w:bCs/>
        </w:rPr>
        <w:t>,</w:t>
      </w:r>
      <w:r w:rsidRPr="00502ECB">
        <w:rPr>
          <w:rFonts w:eastAsia="Calibri"/>
          <w:bCs/>
        </w:rPr>
        <w:t xml:space="preserve"> leading to a lack of accessible written, verbal and electronic communication, and information about the lack of resources for</w:t>
      </w:r>
      <w:r w:rsidR="00225448" w:rsidRPr="00502ECB">
        <w:rPr>
          <w:rFonts w:eastAsia="Calibri"/>
          <w:bCs/>
        </w:rPr>
        <w:t xml:space="preserve"> the</w:t>
      </w:r>
      <w:r w:rsidRPr="00502ECB">
        <w:rPr>
          <w:rFonts w:eastAsia="Calibri"/>
          <w:bCs/>
        </w:rPr>
        <w:t xml:space="preserve"> translation of legal documents and public </w:t>
      </w:r>
      <w:r w:rsidRPr="00502ECB">
        <w:rPr>
          <w:rFonts w:eastAsia="Calibri"/>
          <w:bCs/>
        </w:rPr>
        <w:lastRenderedPageBreak/>
        <w:t xml:space="preserve">information in municipalities into native languages and in accessible formats, creating barriers for persons with disabilities belonging to ethnic minority </w:t>
      </w:r>
      <w:proofErr w:type="gramStart"/>
      <w:r w:rsidRPr="00502ECB">
        <w:rPr>
          <w:rFonts w:eastAsia="Calibri"/>
          <w:bCs/>
        </w:rPr>
        <w:t>groups;</w:t>
      </w:r>
      <w:proofErr w:type="gramEnd"/>
      <w:r w:rsidRPr="00502ECB">
        <w:rPr>
          <w:rFonts w:eastAsia="Calibri"/>
          <w:bCs/>
        </w:rPr>
        <w:t xml:space="preserve"> </w:t>
      </w:r>
    </w:p>
    <w:p w14:paraId="70778F6D" w14:textId="2C5E41E8" w:rsidR="000E4CB1" w:rsidRPr="00502ECB" w:rsidRDefault="000E4CB1" w:rsidP="000E4CB1">
      <w:pPr>
        <w:pStyle w:val="SingleTxtG"/>
        <w:ind w:firstLine="567"/>
        <w:rPr>
          <w:rFonts w:eastAsia="Calibri"/>
          <w:bCs/>
        </w:rPr>
      </w:pPr>
      <w:r w:rsidRPr="00502ECB">
        <w:rPr>
          <w:rFonts w:eastAsia="Calibri"/>
          <w:bCs/>
          <w:lang w:val="en-US"/>
        </w:rPr>
        <w:t>(b)</w:t>
      </w:r>
      <w:r w:rsidRPr="00502ECB">
        <w:rPr>
          <w:rFonts w:eastAsia="Calibri"/>
          <w:bCs/>
          <w:lang w:val="en-US"/>
        </w:rPr>
        <w:tab/>
      </w:r>
      <w:r w:rsidR="00146724" w:rsidRPr="00502ECB">
        <w:rPr>
          <w:rFonts w:eastAsia="Calibri"/>
          <w:bCs/>
          <w:lang w:val="en-US"/>
        </w:rPr>
        <w:t>L</w:t>
      </w:r>
      <w:r w:rsidRPr="00502ECB">
        <w:rPr>
          <w:rFonts w:eastAsia="Calibri"/>
          <w:bCs/>
          <w:lang w:val="en-US"/>
        </w:rPr>
        <w:t xml:space="preserve">imited financial resources </w:t>
      </w:r>
      <w:r w:rsidR="00146724" w:rsidRPr="00502ECB">
        <w:rPr>
          <w:rFonts w:eastAsia="Calibri"/>
          <w:bCs/>
          <w:lang w:val="en-US"/>
        </w:rPr>
        <w:t xml:space="preserve">for the </w:t>
      </w:r>
      <w:r w:rsidRPr="00502ECB">
        <w:rPr>
          <w:rFonts w:eastAsia="Calibri"/>
          <w:bCs/>
          <w:lang w:val="en-US"/>
        </w:rPr>
        <w:t>implementation of Georgian Sign Language</w:t>
      </w:r>
      <w:r w:rsidR="00146724" w:rsidRPr="00502ECB">
        <w:rPr>
          <w:rFonts w:eastAsia="Calibri"/>
          <w:bCs/>
          <w:lang w:val="en-US"/>
        </w:rPr>
        <w:t>,</w:t>
      </w:r>
      <w:r w:rsidRPr="00502ECB">
        <w:rPr>
          <w:rFonts w:eastAsia="Calibri"/>
          <w:bCs/>
          <w:lang w:val="en-US"/>
        </w:rPr>
        <w:t xml:space="preserve"> and training of Sign language interpreters being very limited in all regions and fully absent in some of them, in mainstream schools and in Free Legal Aid Service </w:t>
      </w:r>
      <w:proofErr w:type="gramStart"/>
      <w:r w:rsidRPr="00502ECB">
        <w:rPr>
          <w:rFonts w:eastAsia="Calibri"/>
          <w:bCs/>
          <w:lang w:val="en-US"/>
        </w:rPr>
        <w:t>institutions;</w:t>
      </w:r>
      <w:proofErr w:type="gramEnd"/>
    </w:p>
    <w:p w14:paraId="09D1FF45" w14:textId="6DB6B486" w:rsidR="000E4CB1" w:rsidRPr="00502ECB" w:rsidRDefault="000E4CB1" w:rsidP="00D73A1E">
      <w:pPr>
        <w:pStyle w:val="SingleTxtG"/>
        <w:ind w:firstLine="567"/>
        <w:rPr>
          <w:rFonts w:eastAsia="Calibri"/>
          <w:bCs/>
        </w:rPr>
      </w:pPr>
      <w:r w:rsidRPr="00502ECB">
        <w:rPr>
          <w:rFonts w:eastAsia="Calibri"/>
          <w:bCs/>
          <w:lang w:val="en-US"/>
        </w:rPr>
        <w:tab/>
        <w:t>(c)</w:t>
      </w:r>
      <w:r w:rsidRPr="00502ECB">
        <w:rPr>
          <w:rFonts w:eastAsia="Calibri"/>
          <w:bCs/>
          <w:lang w:val="en-US"/>
        </w:rPr>
        <w:tab/>
      </w:r>
      <w:r w:rsidR="00146724" w:rsidRPr="00502ECB">
        <w:rPr>
          <w:rFonts w:eastAsia="Calibri"/>
          <w:bCs/>
          <w:lang w:val="en-US"/>
        </w:rPr>
        <w:t>L</w:t>
      </w:r>
      <w:r w:rsidR="00C34A00" w:rsidRPr="00502ECB">
        <w:rPr>
          <w:rFonts w:eastAsia="Calibri"/>
          <w:bCs/>
          <w:lang w:val="en-US"/>
        </w:rPr>
        <w:t xml:space="preserve">ow wages and </w:t>
      </w:r>
      <w:r w:rsidR="00146724" w:rsidRPr="00502ECB">
        <w:rPr>
          <w:rFonts w:eastAsia="Calibri"/>
          <w:bCs/>
          <w:lang w:val="en-US"/>
        </w:rPr>
        <w:t xml:space="preserve">the </w:t>
      </w:r>
      <w:r w:rsidRPr="00502ECB">
        <w:rPr>
          <w:rFonts w:eastAsia="Calibri"/>
          <w:bCs/>
          <w:lang w:val="en-US"/>
        </w:rPr>
        <w:t xml:space="preserve">absence of licensing standards for sign language </w:t>
      </w:r>
      <w:proofErr w:type="gramStart"/>
      <w:r w:rsidRPr="00502ECB">
        <w:rPr>
          <w:rFonts w:eastAsia="Calibri"/>
          <w:bCs/>
          <w:lang w:val="en-US"/>
        </w:rPr>
        <w:t>interpreters</w:t>
      </w:r>
      <w:r w:rsidRPr="00502ECB">
        <w:rPr>
          <w:rFonts w:eastAsia="Calibri"/>
          <w:bCs/>
        </w:rPr>
        <w:t>;</w:t>
      </w:r>
      <w:proofErr w:type="gramEnd"/>
    </w:p>
    <w:p w14:paraId="5EFAF556" w14:textId="0DBC4BFD" w:rsidR="000E4CB1" w:rsidRPr="00502ECB" w:rsidRDefault="000E4CB1" w:rsidP="00D73A1E">
      <w:pPr>
        <w:pStyle w:val="SingleTxtG"/>
        <w:ind w:firstLine="567"/>
        <w:rPr>
          <w:rFonts w:eastAsia="Calibri"/>
          <w:bCs/>
        </w:rPr>
      </w:pPr>
      <w:r w:rsidRPr="00502ECB">
        <w:rPr>
          <w:rFonts w:eastAsia="Calibri"/>
          <w:bCs/>
          <w:lang w:val="en-US"/>
        </w:rPr>
        <w:tab/>
        <w:t>(d)</w:t>
      </w:r>
      <w:r w:rsidRPr="00502ECB">
        <w:rPr>
          <w:rFonts w:eastAsia="Calibri"/>
          <w:bCs/>
          <w:lang w:val="en-US"/>
        </w:rPr>
        <w:tab/>
        <w:t xml:space="preserve">The slow progress in the promotion of accessibility </w:t>
      </w:r>
      <w:r w:rsidR="00146724" w:rsidRPr="00502ECB">
        <w:rPr>
          <w:rFonts w:eastAsia="Calibri"/>
          <w:bCs/>
          <w:lang w:val="en-US"/>
        </w:rPr>
        <w:t xml:space="preserve">of </w:t>
      </w:r>
      <w:r w:rsidRPr="00502ECB">
        <w:rPr>
          <w:rFonts w:eastAsia="Calibri"/>
          <w:bCs/>
          <w:lang w:val="en-US"/>
        </w:rPr>
        <w:t xml:space="preserve">websites of public and private </w:t>
      </w:r>
      <w:r w:rsidR="00D522A0">
        <w:rPr>
          <w:rFonts w:eastAsia="Calibri"/>
          <w:bCs/>
          <w:lang w:val="en-US"/>
        </w:rPr>
        <w:t>entities</w:t>
      </w:r>
      <w:r w:rsidRPr="00502ECB">
        <w:rPr>
          <w:rFonts w:eastAsia="Calibri"/>
          <w:bCs/>
          <w:lang w:val="en-US"/>
        </w:rPr>
        <w:t xml:space="preserve">.  </w:t>
      </w:r>
    </w:p>
    <w:p w14:paraId="5CA2DDB3" w14:textId="4EEA77BC" w:rsidR="000E4CB1" w:rsidRPr="00502ECB" w:rsidRDefault="000E4CB1" w:rsidP="000E4CB1">
      <w:pPr>
        <w:pStyle w:val="SingleTxtG"/>
        <w:rPr>
          <w:rFonts w:eastAsia="Calibri"/>
          <w:b/>
          <w:bCs/>
        </w:rPr>
      </w:pPr>
      <w:r w:rsidRPr="00502ECB">
        <w:rPr>
          <w:rFonts w:eastAsia="Calibri"/>
          <w:bCs/>
        </w:rPr>
        <w:t>44.</w:t>
      </w:r>
      <w:r w:rsidRPr="00502ECB">
        <w:rPr>
          <w:rFonts w:eastAsia="Calibri"/>
          <w:bCs/>
        </w:rPr>
        <w:tab/>
      </w:r>
      <w:r w:rsidRPr="00502ECB">
        <w:rPr>
          <w:rFonts w:eastAsia="Calibri"/>
          <w:b/>
          <w:bCs/>
        </w:rPr>
        <w:t>The Committee recommends that the State party:</w:t>
      </w:r>
    </w:p>
    <w:p w14:paraId="6E441931" w14:textId="7498618B" w:rsidR="00F3605B" w:rsidRPr="00D73A1E" w:rsidRDefault="000E4CB1" w:rsidP="00D73A1E">
      <w:pPr>
        <w:pStyle w:val="SingleTxtG"/>
        <w:ind w:firstLine="567"/>
        <w:rPr>
          <w:rFonts w:eastAsia="Calibri"/>
          <w:b/>
          <w:bCs/>
        </w:rPr>
      </w:pPr>
      <w:r w:rsidRPr="00D73A1E">
        <w:rPr>
          <w:rFonts w:eastAsia="Calibri"/>
          <w:b/>
          <w:bCs/>
        </w:rPr>
        <w:tab/>
        <w:t>(a)</w:t>
      </w:r>
      <w:r w:rsidRPr="00D73A1E">
        <w:rPr>
          <w:rFonts w:eastAsia="Calibri"/>
          <w:b/>
          <w:bCs/>
        </w:rPr>
        <w:tab/>
        <w:t>Develop and implement a unified standard of accessibility</w:t>
      </w:r>
      <w:r w:rsidR="00146724" w:rsidRPr="00D73A1E">
        <w:rPr>
          <w:rFonts w:eastAsia="Calibri"/>
          <w:b/>
          <w:bCs/>
        </w:rPr>
        <w:t>, based on international standards,</w:t>
      </w:r>
      <w:r w:rsidRPr="00D73A1E">
        <w:rPr>
          <w:rFonts w:eastAsia="Calibri"/>
          <w:b/>
          <w:bCs/>
        </w:rPr>
        <w:t xml:space="preserve"> to provide information intended for the general public in accessible formats and technologies </w:t>
      </w:r>
      <w:r w:rsidR="00146724" w:rsidRPr="00D73A1E">
        <w:rPr>
          <w:rFonts w:eastAsia="Calibri"/>
          <w:b/>
          <w:bCs/>
        </w:rPr>
        <w:t xml:space="preserve">accessible </w:t>
      </w:r>
      <w:r w:rsidRPr="00D73A1E">
        <w:rPr>
          <w:rFonts w:eastAsia="Calibri"/>
          <w:b/>
          <w:bCs/>
        </w:rPr>
        <w:t xml:space="preserve">to </w:t>
      </w:r>
      <w:r w:rsidR="00F3605B" w:rsidRPr="00D73A1E">
        <w:rPr>
          <w:rFonts w:eastAsia="Calibri"/>
          <w:b/>
          <w:bCs/>
        </w:rPr>
        <w:t xml:space="preserve">all persons with disabilities, </w:t>
      </w:r>
      <w:r w:rsidRPr="00D73A1E">
        <w:rPr>
          <w:rFonts w:eastAsia="Calibri"/>
          <w:b/>
          <w:bCs/>
        </w:rPr>
        <w:t xml:space="preserve">in a timely manner and without additional </w:t>
      </w:r>
      <w:proofErr w:type="gramStart"/>
      <w:r w:rsidRPr="00D73A1E">
        <w:rPr>
          <w:rFonts w:eastAsia="Calibri"/>
          <w:b/>
          <w:bCs/>
        </w:rPr>
        <w:t>costs</w:t>
      </w:r>
      <w:r w:rsidR="00F3605B" w:rsidRPr="00D73A1E">
        <w:rPr>
          <w:rFonts w:eastAsia="Calibri"/>
          <w:b/>
          <w:bCs/>
        </w:rPr>
        <w:t>;</w:t>
      </w:r>
      <w:proofErr w:type="gramEnd"/>
    </w:p>
    <w:p w14:paraId="6F2006B9" w14:textId="411E46FB" w:rsidR="000E4CB1" w:rsidRPr="00D73A1E" w:rsidRDefault="00F3605B" w:rsidP="00F3605B">
      <w:pPr>
        <w:pStyle w:val="SingleTxtG"/>
        <w:ind w:firstLine="567"/>
        <w:rPr>
          <w:rFonts w:eastAsia="Calibri"/>
          <w:b/>
          <w:bCs/>
        </w:rPr>
      </w:pPr>
      <w:r w:rsidRPr="00D73A1E">
        <w:rPr>
          <w:rFonts w:eastAsia="Calibri"/>
          <w:b/>
          <w:bCs/>
        </w:rPr>
        <w:t>(b)</w:t>
      </w:r>
      <w:r w:rsidRPr="00D73A1E">
        <w:rPr>
          <w:rFonts w:eastAsia="Calibri"/>
          <w:b/>
          <w:bCs/>
        </w:rPr>
        <w:tab/>
      </w:r>
      <w:r w:rsidR="000E4CB1" w:rsidRPr="00D73A1E">
        <w:rPr>
          <w:rFonts w:eastAsia="Calibri"/>
          <w:b/>
          <w:bCs/>
        </w:rPr>
        <w:t xml:space="preserve"> Create and implement</w:t>
      </w:r>
      <w:r w:rsidRPr="00D73A1E">
        <w:rPr>
          <w:rFonts w:eastAsia="Calibri"/>
          <w:b/>
          <w:bCs/>
        </w:rPr>
        <w:t xml:space="preserve"> </w:t>
      </w:r>
      <w:r w:rsidR="000E4CB1" w:rsidRPr="00D73A1E">
        <w:rPr>
          <w:rFonts w:eastAsia="Calibri"/>
          <w:b/>
          <w:bCs/>
        </w:rPr>
        <w:t>monitoring and evaluation of accessibility projects</w:t>
      </w:r>
      <w:r w:rsidRPr="00D73A1E">
        <w:rPr>
          <w:rFonts w:eastAsia="Calibri"/>
          <w:b/>
          <w:bCs/>
        </w:rPr>
        <w:t xml:space="preserve"> and p</w:t>
      </w:r>
      <w:r w:rsidR="000E4CB1" w:rsidRPr="00D73A1E">
        <w:rPr>
          <w:rFonts w:eastAsia="Calibri"/>
          <w:b/>
          <w:bCs/>
        </w:rPr>
        <w:t>rovide</w:t>
      </w:r>
      <w:r w:rsidRPr="00D73A1E">
        <w:rPr>
          <w:rFonts w:eastAsia="Calibri"/>
          <w:b/>
          <w:bCs/>
        </w:rPr>
        <w:t xml:space="preserve"> persons with disabilities, including persons</w:t>
      </w:r>
      <w:r w:rsidR="00146724" w:rsidRPr="00D73A1E">
        <w:rPr>
          <w:rFonts w:eastAsia="Calibri"/>
          <w:b/>
          <w:bCs/>
        </w:rPr>
        <w:t xml:space="preserve"> with disabilities</w:t>
      </w:r>
      <w:r w:rsidRPr="00D73A1E">
        <w:rPr>
          <w:rFonts w:eastAsia="Calibri"/>
          <w:b/>
          <w:bCs/>
        </w:rPr>
        <w:t xml:space="preserve"> belonging to ethnic minorit</w:t>
      </w:r>
      <w:r w:rsidR="00C34A00" w:rsidRPr="00D73A1E">
        <w:rPr>
          <w:rFonts w:eastAsia="Calibri"/>
          <w:b/>
          <w:bCs/>
        </w:rPr>
        <w:t>ies</w:t>
      </w:r>
      <w:r w:rsidRPr="00D73A1E">
        <w:rPr>
          <w:rFonts w:eastAsia="Calibri"/>
          <w:b/>
          <w:bCs/>
        </w:rPr>
        <w:t>, with</w:t>
      </w:r>
      <w:r w:rsidR="000E4CB1" w:rsidRPr="00D73A1E">
        <w:rPr>
          <w:rFonts w:eastAsia="Calibri"/>
          <w:b/>
          <w:bCs/>
        </w:rPr>
        <w:t xml:space="preserve"> free, professional interpret</w:t>
      </w:r>
      <w:r w:rsidR="00C34A00" w:rsidRPr="00D73A1E">
        <w:rPr>
          <w:rFonts w:eastAsia="Calibri"/>
          <w:b/>
          <w:bCs/>
        </w:rPr>
        <w:t>ation</w:t>
      </w:r>
      <w:r w:rsidR="000E4CB1" w:rsidRPr="00D73A1E">
        <w:rPr>
          <w:rFonts w:eastAsia="Calibri"/>
          <w:b/>
          <w:bCs/>
        </w:rPr>
        <w:t xml:space="preserve"> services </w:t>
      </w:r>
      <w:r w:rsidRPr="00D73A1E">
        <w:rPr>
          <w:rFonts w:eastAsia="Calibri"/>
          <w:b/>
          <w:bCs/>
        </w:rPr>
        <w:t>in administrative procedures before</w:t>
      </w:r>
      <w:r w:rsidR="000E4CB1" w:rsidRPr="00D73A1E">
        <w:rPr>
          <w:rFonts w:eastAsia="Calibri"/>
          <w:b/>
          <w:bCs/>
        </w:rPr>
        <w:t xml:space="preserve"> </w:t>
      </w:r>
      <w:r w:rsidRPr="00D73A1E">
        <w:rPr>
          <w:rFonts w:eastAsia="Calibri"/>
          <w:b/>
          <w:bCs/>
        </w:rPr>
        <w:t>S</w:t>
      </w:r>
      <w:r w:rsidR="000E4CB1" w:rsidRPr="00D73A1E">
        <w:rPr>
          <w:rFonts w:eastAsia="Calibri"/>
          <w:b/>
          <w:bCs/>
        </w:rPr>
        <w:t xml:space="preserve">tate agencies, as well as with social </w:t>
      </w:r>
      <w:proofErr w:type="gramStart"/>
      <w:r w:rsidR="000E4CB1" w:rsidRPr="00D73A1E">
        <w:rPr>
          <w:rFonts w:eastAsia="Calibri"/>
          <w:b/>
          <w:bCs/>
        </w:rPr>
        <w:t>workers;</w:t>
      </w:r>
      <w:proofErr w:type="gramEnd"/>
      <w:r w:rsidR="000E4CB1" w:rsidRPr="00D73A1E">
        <w:rPr>
          <w:rFonts w:eastAsia="Calibri"/>
          <w:b/>
          <w:bCs/>
        </w:rPr>
        <w:t xml:space="preserve"> </w:t>
      </w:r>
    </w:p>
    <w:p w14:paraId="3AAEDA39" w14:textId="712D4B58" w:rsidR="000E4CB1" w:rsidRPr="00D73A1E" w:rsidRDefault="000E4CB1" w:rsidP="00D73A1E">
      <w:pPr>
        <w:pStyle w:val="SingleTxtG"/>
        <w:ind w:firstLine="567"/>
        <w:rPr>
          <w:rFonts w:eastAsia="Calibri"/>
          <w:b/>
          <w:bCs/>
        </w:rPr>
      </w:pPr>
      <w:r w:rsidRPr="00D73A1E">
        <w:rPr>
          <w:rFonts w:eastAsia="Calibri"/>
          <w:b/>
          <w:bCs/>
        </w:rPr>
        <w:tab/>
        <w:t>(</w:t>
      </w:r>
      <w:r w:rsidR="00F3605B" w:rsidRPr="00D73A1E">
        <w:rPr>
          <w:rFonts w:eastAsia="Calibri"/>
          <w:b/>
          <w:bCs/>
        </w:rPr>
        <w:t>c</w:t>
      </w:r>
      <w:r w:rsidRPr="00D73A1E">
        <w:rPr>
          <w:rFonts w:eastAsia="Calibri"/>
          <w:b/>
          <w:bCs/>
        </w:rPr>
        <w:t>)</w:t>
      </w:r>
      <w:r w:rsidRPr="00D73A1E">
        <w:rPr>
          <w:rFonts w:eastAsia="Calibri"/>
          <w:b/>
          <w:bCs/>
        </w:rPr>
        <w:tab/>
        <w:t xml:space="preserve">Allocate sufficient funding to the training and employment of sign language interpreters and define licensing standards. </w:t>
      </w:r>
      <w:r w:rsidR="00146724" w:rsidRPr="00D73A1E">
        <w:rPr>
          <w:rFonts w:eastAsia="Calibri"/>
          <w:b/>
          <w:bCs/>
        </w:rPr>
        <w:t>Establish</w:t>
      </w:r>
      <w:r w:rsidRPr="00D73A1E">
        <w:rPr>
          <w:rFonts w:eastAsia="Calibri"/>
          <w:b/>
          <w:bCs/>
        </w:rPr>
        <w:t xml:space="preserve"> an action plan to ensure sufficient coverage of sign language interpreters, particularly in schools and public </w:t>
      </w:r>
      <w:proofErr w:type="gramStart"/>
      <w:r w:rsidRPr="00D73A1E">
        <w:rPr>
          <w:rFonts w:eastAsia="Calibri"/>
          <w:b/>
          <w:bCs/>
        </w:rPr>
        <w:t>services;</w:t>
      </w:r>
      <w:proofErr w:type="gramEnd"/>
    </w:p>
    <w:p w14:paraId="2C5F16F1" w14:textId="70FDDA76" w:rsidR="00C83E3A" w:rsidRPr="00502ECB" w:rsidRDefault="000E4CB1" w:rsidP="00D73A1E">
      <w:pPr>
        <w:pStyle w:val="SingleTxtG"/>
        <w:ind w:firstLine="567"/>
        <w:rPr>
          <w:rFonts w:eastAsia="Calibri"/>
          <w:b/>
          <w:bCs/>
        </w:rPr>
      </w:pPr>
      <w:r w:rsidRPr="00D73A1E">
        <w:rPr>
          <w:rFonts w:eastAsia="Calibri"/>
          <w:b/>
          <w:bCs/>
        </w:rPr>
        <w:tab/>
        <w:t>(</w:t>
      </w:r>
      <w:r w:rsidR="00F3605B" w:rsidRPr="00D73A1E">
        <w:rPr>
          <w:rFonts w:eastAsia="Calibri"/>
          <w:b/>
          <w:bCs/>
        </w:rPr>
        <w:t>d</w:t>
      </w:r>
      <w:r w:rsidRPr="00D73A1E">
        <w:rPr>
          <w:rFonts w:eastAsia="Calibri"/>
          <w:b/>
          <w:bCs/>
        </w:rPr>
        <w:t>)</w:t>
      </w:r>
      <w:r w:rsidRPr="00502ECB">
        <w:rPr>
          <w:rFonts w:eastAsia="Calibri"/>
          <w:bCs/>
        </w:rPr>
        <w:tab/>
      </w:r>
      <w:r w:rsidR="00643B37">
        <w:rPr>
          <w:rFonts w:eastAsia="Calibri"/>
          <w:b/>
          <w:bCs/>
        </w:rPr>
        <w:t>Enact</w:t>
      </w:r>
      <w:r w:rsidR="00643B37" w:rsidRPr="00502ECB">
        <w:rPr>
          <w:rFonts w:eastAsia="Calibri"/>
          <w:b/>
          <w:bCs/>
        </w:rPr>
        <w:t xml:space="preserve"> </w:t>
      </w:r>
      <w:r w:rsidRPr="00502ECB">
        <w:rPr>
          <w:rFonts w:eastAsia="Calibri"/>
          <w:b/>
          <w:bCs/>
        </w:rPr>
        <w:t>and implement the "Law on Web and Mobile Applications Accessibility"</w:t>
      </w:r>
      <w:r w:rsidRPr="00502ECB">
        <w:rPr>
          <w:rFonts w:eastAsia="Calibri"/>
          <w:bCs/>
        </w:rPr>
        <w:t xml:space="preserve"> </w:t>
      </w:r>
      <w:r w:rsidR="00146724" w:rsidRPr="00502ECB">
        <w:rPr>
          <w:rFonts w:eastAsia="Calibri"/>
          <w:b/>
          <w:bCs/>
        </w:rPr>
        <w:t>obliging</w:t>
      </w:r>
      <w:r w:rsidRPr="00502ECB">
        <w:rPr>
          <w:rFonts w:eastAsia="Calibri"/>
          <w:b/>
          <w:bCs/>
        </w:rPr>
        <w:t xml:space="preserve"> providers of information </w:t>
      </w:r>
      <w:r w:rsidR="00146724" w:rsidRPr="00502ECB">
        <w:rPr>
          <w:rFonts w:eastAsia="Calibri"/>
          <w:b/>
          <w:bCs/>
        </w:rPr>
        <w:t xml:space="preserve">on </w:t>
      </w:r>
      <w:r w:rsidRPr="00502ECB">
        <w:rPr>
          <w:rFonts w:eastAsia="Calibri"/>
          <w:b/>
          <w:bCs/>
        </w:rPr>
        <w:t xml:space="preserve">the Internet to make their services accessible to persons with disabilities. </w:t>
      </w:r>
    </w:p>
    <w:p w14:paraId="2AC9391F" w14:textId="644C2747" w:rsidR="00C83E3A" w:rsidRPr="00502ECB" w:rsidRDefault="00D73A1E" w:rsidP="00D73A1E">
      <w:pPr>
        <w:pStyle w:val="H23G"/>
      </w:pPr>
      <w:r>
        <w:tab/>
      </w:r>
      <w:r>
        <w:tab/>
      </w:r>
      <w:r w:rsidR="00C83E3A" w:rsidRPr="00502ECB">
        <w:t>Right to privacy (art. 22)</w:t>
      </w:r>
    </w:p>
    <w:p w14:paraId="0E2E7D8E" w14:textId="3CBDA803" w:rsidR="00AA5AF8" w:rsidRPr="00502ECB" w:rsidRDefault="00C83E3A" w:rsidP="00AA5AF8">
      <w:pPr>
        <w:pStyle w:val="SingleTxtG"/>
        <w:rPr>
          <w:rFonts w:eastAsia="Calibri"/>
          <w:bCs/>
        </w:rPr>
      </w:pPr>
      <w:r w:rsidRPr="00502ECB">
        <w:rPr>
          <w:rFonts w:eastAsia="Calibri"/>
          <w:bCs/>
        </w:rPr>
        <w:t>4</w:t>
      </w:r>
      <w:r w:rsidR="00A454F4" w:rsidRPr="00502ECB">
        <w:rPr>
          <w:rFonts w:eastAsia="Calibri"/>
          <w:bCs/>
        </w:rPr>
        <w:t>5</w:t>
      </w:r>
      <w:r w:rsidRPr="00502ECB">
        <w:rPr>
          <w:rFonts w:eastAsia="Calibri"/>
          <w:bCs/>
        </w:rPr>
        <w:t>.</w:t>
      </w:r>
      <w:r w:rsidRPr="00502ECB">
        <w:rPr>
          <w:rFonts w:eastAsia="Calibri"/>
          <w:b/>
        </w:rPr>
        <w:tab/>
      </w:r>
      <w:r w:rsidR="00AA5AF8" w:rsidRPr="00502ECB">
        <w:rPr>
          <w:rFonts w:eastAsia="Calibri"/>
          <w:bCs/>
        </w:rPr>
        <w:t>The Committee expresses concern about the lack of comprehensive measures ensuring data protection and privacy practices in hospitals and institutions for persons with disabilities.</w:t>
      </w:r>
    </w:p>
    <w:p w14:paraId="1C3BB826" w14:textId="6F37EBA3" w:rsidR="00C83E3A" w:rsidRPr="00502ECB" w:rsidRDefault="00AA5AF8" w:rsidP="00C34A00">
      <w:pPr>
        <w:pStyle w:val="SingleTxtG"/>
        <w:rPr>
          <w:rFonts w:eastAsia="Calibri"/>
          <w:b/>
          <w:bCs/>
        </w:rPr>
      </w:pPr>
      <w:r w:rsidRPr="00502ECB">
        <w:rPr>
          <w:rFonts w:eastAsia="Calibri"/>
          <w:bCs/>
        </w:rPr>
        <w:t>46.</w:t>
      </w:r>
      <w:r w:rsidRPr="00502ECB">
        <w:rPr>
          <w:rFonts w:eastAsia="Calibri"/>
          <w:bCs/>
        </w:rPr>
        <w:tab/>
      </w:r>
      <w:r w:rsidRPr="00502ECB">
        <w:rPr>
          <w:b/>
          <w:bCs/>
        </w:rPr>
        <w:t xml:space="preserve">The Committee recommends that the State party review and revise </w:t>
      </w:r>
      <w:r w:rsidRPr="00502ECB">
        <w:rPr>
          <w:rFonts w:eastAsia="Calibri"/>
          <w:b/>
          <w:bCs/>
        </w:rPr>
        <w:t>the Law on Personal Data Protection to include data protection and privacy practices of hospitals and institutions and set up data protection protocols in both health and institution</w:t>
      </w:r>
      <w:r w:rsidR="00146724" w:rsidRPr="00502ECB">
        <w:rPr>
          <w:rFonts w:eastAsia="Calibri"/>
          <w:b/>
          <w:bCs/>
        </w:rPr>
        <w:t>s</w:t>
      </w:r>
      <w:r w:rsidRPr="00502ECB">
        <w:rPr>
          <w:rFonts w:eastAsia="Calibri"/>
          <w:b/>
          <w:bCs/>
        </w:rPr>
        <w:t xml:space="preserve"> for persons with disabilities, guaranteeing the privacy of personal, health and rehabilitation information of persons with disabilities</w:t>
      </w:r>
      <w:r w:rsidR="00146724" w:rsidRPr="00502ECB">
        <w:rPr>
          <w:rFonts w:eastAsia="Calibri"/>
          <w:b/>
          <w:bCs/>
        </w:rPr>
        <w:t>,</w:t>
      </w:r>
      <w:r w:rsidRPr="00502ECB">
        <w:rPr>
          <w:rFonts w:eastAsia="Calibri"/>
          <w:b/>
          <w:bCs/>
        </w:rPr>
        <w:t xml:space="preserve"> on</w:t>
      </w:r>
      <w:r w:rsidR="00146724" w:rsidRPr="00502ECB">
        <w:rPr>
          <w:rFonts w:eastAsia="Calibri"/>
          <w:b/>
          <w:bCs/>
        </w:rPr>
        <w:t xml:space="preserve"> an</w:t>
      </w:r>
      <w:r w:rsidRPr="00502ECB">
        <w:rPr>
          <w:rFonts w:eastAsia="Calibri"/>
          <w:b/>
          <w:bCs/>
        </w:rPr>
        <w:t xml:space="preserve"> equal basis with others.</w:t>
      </w:r>
    </w:p>
    <w:p w14:paraId="3C6C2FBD" w14:textId="3D1782CD" w:rsidR="00C83E3A" w:rsidRPr="00502ECB" w:rsidRDefault="00D73A1E" w:rsidP="00D73A1E">
      <w:pPr>
        <w:pStyle w:val="H23G"/>
      </w:pPr>
      <w:r>
        <w:tab/>
      </w:r>
      <w:r>
        <w:tab/>
      </w:r>
      <w:r w:rsidR="00C83E3A" w:rsidRPr="00502ECB">
        <w:t>Respect for home and the family (art. 23)</w:t>
      </w:r>
    </w:p>
    <w:p w14:paraId="1D70280D" w14:textId="63001366" w:rsidR="00C83E3A" w:rsidRPr="00502ECB" w:rsidRDefault="00C83E3A" w:rsidP="00A454F4">
      <w:pPr>
        <w:pStyle w:val="SingleTxtG"/>
        <w:rPr>
          <w:rFonts w:eastAsia="Calibri"/>
          <w:bCs/>
        </w:rPr>
      </w:pPr>
      <w:r w:rsidRPr="00502ECB">
        <w:rPr>
          <w:rFonts w:eastAsia="Calibri"/>
          <w:bCs/>
        </w:rPr>
        <w:t>4</w:t>
      </w:r>
      <w:r w:rsidR="00A454F4" w:rsidRPr="00502ECB">
        <w:rPr>
          <w:rFonts w:eastAsia="Calibri"/>
          <w:bCs/>
        </w:rPr>
        <w:t>7</w:t>
      </w:r>
      <w:r w:rsidRPr="00502ECB">
        <w:rPr>
          <w:rFonts w:eastAsia="Calibri"/>
          <w:bCs/>
        </w:rPr>
        <w:t>.</w:t>
      </w:r>
      <w:r w:rsidRPr="00502ECB">
        <w:rPr>
          <w:rFonts w:eastAsia="Calibri"/>
          <w:bCs/>
        </w:rPr>
        <w:tab/>
        <w:t xml:space="preserve">The Committee notes with concern: </w:t>
      </w:r>
    </w:p>
    <w:p w14:paraId="16A650E7" w14:textId="3058E338" w:rsidR="00B73C9E" w:rsidRPr="00502ECB" w:rsidRDefault="00C83E3A" w:rsidP="007F6BE3">
      <w:pPr>
        <w:pStyle w:val="SingleTxtG"/>
        <w:ind w:firstLine="567"/>
        <w:rPr>
          <w:rFonts w:eastAsia="Calibri"/>
          <w:bCs/>
        </w:rPr>
      </w:pPr>
      <w:r w:rsidRPr="00502ECB">
        <w:rPr>
          <w:rFonts w:eastAsia="Calibri"/>
          <w:bCs/>
        </w:rPr>
        <w:tab/>
        <w:t>(a)</w:t>
      </w:r>
      <w:r w:rsidRPr="00502ECB">
        <w:rPr>
          <w:rFonts w:eastAsia="Calibri"/>
          <w:bCs/>
        </w:rPr>
        <w:tab/>
      </w:r>
      <w:r w:rsidR="00D3476C" w:rsidRPr="00502ECB">
        <w:rPr>
          <w:rFonts w:eastAsia="Calibri"/>
          <w:bCs/>
        </w:rPr>
        <w:t>The restriction of parental rights to persons with psychosocial disabilities, particularly women</w:t>
      </w:r>
      <w:r w:rsidR="002430B8" w:rsidRPr="00502ECB">
        <w:rPr>
          <w:rFonts w:eastAsia="Calibri"/>
          <w:bCs/>
        </w:rPr>
        <w:t xml:space="preserve"> living in institutions</w:t>
      </w:r>
      <w:r w:rsidR="00D3476C" w:rsidRPr="00502ECB">
        <w:rPr>
          <w:rFonts w:eastAsia="Calibri"/>
          <w:bCs/>
        </w:rPr>
        <w:t xml:space="preserve">, </w:t>
      </w:r>
      <w:r w:rsidR="00146724" w:rsidRPr="00502ECB">
        <w:rPr>
          <w:rFonts w:eastAsia="Calibri"/>
          <w:bCs/>
        </w:rPr>
        <w:t xml:space="preserve">solely </w:t>
      </w:r>
      <w:r w:rsidR="00D3476C" w:rsidRPr="00502ECB">
        <w:rPr>
          <w:rFonts w:eastAsia="Calibri"/>
          <w:bCs/>
        </w:rPr>
        <w:t>on the basis of medical assessments and entailing separation</w:t>
      </w:r>
      <w:r w:rsidR="00600C58" w:rsidRPr="00502ECB">
        <w:rPr>
          <w:rFonts w:eastAsia="Calibri"/>
          <w:bCs/>
        </w:rPr>
        <w:t xml:space="preserve"> from</w:t>
      </w:r>
      <w:r w:rsidR="00D3476C" w:rsidRPr="00502ECB">
        <w:rPr>
          <w:rFonts w:eastAsia="Calibri"/>
          <w:bCs/>
        </w:rPr>
        <w:t xml:space="preserve"> their </w:t>
      </w:r>
      <w:proofErr w:type="gramStart"/>
      <w:r w:rsidR="00D3476C" w:rsidRPr="00502ECB">
        <w:rPr>
          <w:rFonts w:eastAsia="Calibri"/>
          <w:bCs/>
        </w:rPr>
        <w:t>children;</w:t>
      </w:r>
      <w:proofErr w:type="gramEnd"/>
      <w:r w:rsidR="00D3476C" w:rsidRPr="00502ECB">
        <w:rPr>
          <w:rFonts w:eastAsia="Calibri"/>
          <w:bCs/>
        </w:rPr>
        <w:t xml:space="preserve"> </w:t>
      </w:r>
      <w:r w:rsidR="00B73C9E" w:rsidRPr="00502ECB">
        <w:rPr>
          <w:rFonts w:eastAsia="Calibri"/>
          <w:bCs/>
        </w:rPr>
        <w:t xml:space="preserve"> </w:t>
      </w:r>
    </w:p>
    <w:p w14:paraId="72BD2BA6" w14:textId="71D80432" w:rsidR="00C83E3A" w:rsidRPr="00502ECB" w:rsidRDefault="00B73C9E" w:rsidP="00D3476C">
      <w:pPr>
        <w:pStyle w:val="SingleTxtG"/>
        <w:ind w:firstLine="567"/>
        <w:rPr>
          <w:rFonts w:eastAsia="Calibri"/>
          <w:bCs/>
        </w:rPr>
      </w:pPr>
      <w:r w:rsidRPr="00502ECB">
        <w:rPr>
          <w:rFonts w:eastAsia="Calibri"/>
          <w:bCs/>
        </w:rPr>
        <w:t>(</w:t>
      </w:r>
      <w:r w:rsidR="007F6BE3" w:rsidRPr="00502ECB">
        <w:rPr>
          <w:rFonts w:eastAsia="Calibri"/>
          <w:bCs/>
        </w:rPr>
        <w:t>b</w:t>
      </w:r>
      <w:r w:rsidRPr="00502ECB">
        <w:rPr>
          <w:rFonts w:eastAsia="Calibri"/>
          <w:bCs/>
        </w:rPr>
        <w:t>)</w:t>
      </w:r>
      <w:r w:rsidRPr="00502ECB">
        <w:rPr>
          <w:rFonts w:eastAsia="Calibri"/>
          <w:bCs/>
        </w:rPr>
        <w:tab/>
        <w:t>Limited coverage of programmes to support</w:t>
      </w:r>
      <w:r w:rsidR="007F6BE3" w:rsidRPr="00502ECB">
        <w:rPr>
          <w:rFonts w:eastAsia="Calibri"/>
          <w:bCs/>
        </w:rPr>
        <w:t xml:space="preserve"> </w:t>
      </w:r>
      <w:r w:rsidR="00146724" w:rsidRPr="00502ECB">
        <w:rPr>
          <w:rFonts w:eastAsia="Calibri"/>
          <w:bCs/>
        </w:rPr>
        <w:t xml:space="preserve">the </w:t>
      </w:r>
      <w:r w:rsidR="007F6BE3" w:rsidRPr="00502ECB">
        <w:rPr>
          <w:rFonts w:eastAsia="Calibri"/>
          <w:bCs/>
        </w:rPr>
        <w:t>inclusion of</w:t>
      </w:r>
      <w:r w:rsidRPr="00502ECB">
        <w:rPr>
          <w:rFonts w:eastAsia="Calibri"/>
          <w:bCs/>
        </w:rPr>
        <w:t xml:space="preserve"> children with disabilities and their families</w:t>
      </w:r>
      <w:r w:rsidR="007F6BE3" w:rsidRPr="00502ECB">
        <w:rPr>
          <w:rFonts w:eastAsia="Calibri"/>
          <w:bCs/>
        </w:rPr>
        <w:t xml:space="preserve"> in the community</w:t>
      </w:r>
      <w:r w:rsidR="00146724" w:rsidRPr="00502ECB">
        <w:rPr>
          <w:rFonts w:eastAsia="Calibri"/>
          <w:bCs/>
        </w:rPr>
        <w:t>,</w:t>
      </w:r>
      <w:r w:rsidR="007F6BE3" w:rsidRPr="00502ECB">
        <w:rPr>
          <w:rFonts w:eastAsia="Calibri"/>
          <w:bCs/>
        </w:rPr>
        <w:t xml:space="preserve"> resulting </w:t>
      </w:r>
      <w:r w:rsidR="00146724" w:rsidRPr="00502ECB">
        <w:rPr>
          <w:rFonts w:eastAsia="Calibri"/>
          <w:bCs/>
        </w:rPr>
        <w:t xml:space="preserve">in </w:t>
      </w:r>
      <w:r w:rsidRPr="00502ECB">
        <w:rPr>
          <w:color w:val="000000" w:themeColor="text1"/>
        </w:rPr>
        <w:t xml:space="preserve">heightened </w:t>
      </w:r>
      <w:r w:rsidR="00146724" w:rsidRPr="00502ECB">
        <w:rPr>
          <w:color w:val="000000" w:themeColor="text1"/>
        </w:rPr>
        <w:t xml:space="preserve">exposure to </w:t>
      </w:r>
      <w:r w:rsidRPr="00502ECB">
        <w:rPr>
          <w:color w:val="000000" w:themeColor="text1"/>
        </w:rPr>
        <w:t xml:space="preserve">abandonment and </w:t>
      </w:r>
      <w:proofErr w:type="gramStart"/>
      <w:r w:rsidRPr="00502ECB">
        <w:rPr>
          <w:color w:val="000000" w:themeColor="text1"/>
        </w:rPr>
        <w:t>institutionalization;</w:t>
      </w:r>
      <w:proofErr w:type="gramEnd"/>
      <w:r w:rsidRPr="00502ECB">
        <w:rPr>
          <w:color w:val="000000" w:themeColor="text1"/>
        </w:rPr>
        <w:t xml:space="preserve"> </w:t>
      </w:r>
      <w:r w:rsidRPr="00502ECB">
        <w:rPr>
          <w:b/>
          <w:bCs/>
          <w:color w:val="000000" w:themeColor="text1"/>
          <w:lang w:val="en-US"/>
        </w:rPr>
        <w:t xml:space="preserve"> </w:t>
      </w:r>
    </w:p>
    <w:p w14:paraId="5E407098" w14:textId="5548B7E6" w:rsidR="00C83E3A" w:rsidRPr="00502ECB" w:rsidRDefault="00C83E3A" w:rsidP="00C83E3A">
      <w:pPr>
        <w:pStyle w:val="SingleTxtG"/>
        <w:ind w:firstLine="567"/>
        <w:rPr>
          <w:rFonts w:eastAsia="Calibri"/>
          <w:bCs/>
        </w:rPr>
      </w:pPr>
      <w:r w:rsidRPr="00502ECB">
        <w:rPr>
          <w:rFonts w:eastAsia="Calibri"/>
          <w:bCs/>
        </w:rPr>
        <w:tab/>
        <w:t>(</w:t>
      </w:r>
      <w:r w:rsidR="007F6BE3" w:rsidRPr="00502ECB">
        <w:rPr>
          <w:rFonts w:eastAsia="Calibri"/>
          <w:bCs/>
        </w:rPr>
        <w:t>c</w:t>
      </w:r>
      <w:r w:rsidRPr="00502ECB">
        <w:rPr>
          <w:rFonts w:eastAsia="Calibri"/>
          <w:bCs/>
        </w:rPr>
        <w:t>)</w:t>
      </w:r>
      <w:r w:rsidRPr="00502ECB">
        <w:rPr>
          <w:rFonts w:eastAsia="Calibri"/>
          <w:bCs/>
        </w:rPr>
        <w:tab/>
      </w:r>
      <w:proofErr w:type="gramStart"/>
      <w:r w:rsidR="00B91E0A" w:rsidRPr="00502ECB">
        <w:rPr>
          <w:rFonts w:eastAsia="Calibri"/>
          <w:bCs/>
        </w:rPr>
        <w:t>That programmes</w:t>
      </w:r>
      <w:proofErr w:type="gramEnd"/>
      <w:r w:rsidR="00C52FD2" w:rsidRPr="00502ECB">
        <w:rPr>
          <w:rFonts w:eastAsia="Calibri"/>
          <w:bCs/>
        </w:rPr>
        <w:t xml:space="preserve"> and subprogrammes </w:t>
      </w:r>
      <w:r w:rsidR="00146724" w:rsidRPr="00502ECB">
        <w:rPr>
          <w:rFonts w:eastAsia="Calibri"/>
          <w:bCs/>
        </w:rPr>
        <w:t xml:space="preserve">on the rehabilitation of </w:t>
      </w:r>
      <w:r w:rsidR="00C52FD2" w:rsidRPr="00502ECB">
        <w:rPr>
          <w:rFonts w:eastAsia="Calibri"/>
          <w:bCs/>
        </w:rPr>
        <w:t>children and</w:t>
      </w:r>
      <w:r w:rsidR="00146724" w:rsidRPr="00502ECB">
        <w:rPr>
          <w:rFonts w:eastAsia="Calibri"/>
          <w:bCs/>
        </w:rPr>
        <w:t xml:space="preserve"> on</w:t>
      </w:r>
      <w:r w:rsidR="00C52FD2" w:rsidRPr="00502ECB">
        <w:rPr>
          <w:rFonts w:eastAsia="Calibri"/>
          <w:bCs/>
        </w:rPr>
        <w:t xml:space="preserve"> child care</w:t>
      </w:r>
      <w:r w:rsidR="00B91E0A" w:rsidRPr="00502ECB">
        <w:rPr>
          <w:rFonts w:eastAsia="Calibri"/>
          <w:bCs/>
        </w:rPr>
        <w:t xml:space="preserve"> lack measures to support parents with disabilities in their child-rearing responsibilitie</w:t>
      </w:r>
      <w:r w:rsidR="00B73C9E" w:rsidRPr="00502ECB">
        <w:rPr>
          <w:rFonts w:eastAsia="Calibri"/>
          <w:bCs/>
        </w:rPr>
        <w:t>s</w:t>
      </w:r>
      <w:r w:rsidR="00E04D38" w:rsidRPr="00502ECB">
        <w:rPr>
          <w:rFonts w:eastAsia="Calibri"/>
          <w:bCs/>
        </w:rPr>
        <w:t xml:space="preserve">. </w:t>
      </w:r>
    </w:p>
    <w:p w14:paraId="692C69A2" w14:textId="4CF40775" w:rsidR="00C83E3A" w:rsidRPr="00502ECB" w:rsidRDefault="00C83E3A" w:rsidP="00A454F4">
      <w:pPr>
        <w:pStyle w:val="SingleTxtG"/>
        <w:rPr>
          <w:rFonts w:eastAsia="Calibri"/>
          <w:bCs/>
        </w:rPr>
      </w:pPr>
      <w:r w:rsidRPr="00502ECB">
        <w:rPr>
          <w:rFonts w:eastAsia="Calibri"/>
          <w:bCs/>
        </w:rPr>
        <w:t>4</w:t>
      </w:r>
      <w:r w:rsidR="00A454F4" w:rsidRPr="00502ECB">
        <w:rPr>
          <w:rFonts w:eastAsia="Calibri"/>
          <w:bCs/>
        </w:rPr>
        <w:t>8</w:t>
      </w:r>
      <w:r w:rsidRPr="00502ECB">
        <w:rPr>
          <w:rFonts w:eastAsia="Calibri"/>
          <w:bCs/>
        </w:rPr>
        <w:t>.</w:t>
      </w:r>
      <w:r w:rsidRPr="00502ECB">
        <w:rPr>
          <w:rFonts w:eastAsia="Calibri"/>
          <w:bCs/>
        </w:rPr>
        <w:tab/>
      </w:r>
      <w:r w:rsidRPr="00502ECB">
        <w:rPr>
          <w:rFonts w:eastAsia="Calibri"/>
          <w:b/>
          <w:bCs/>
        </w:rPr>
        <w:t>The Committee recommends that the State party:</w:t>
      </w:r>
    </w:p>
    <w:p w14:paraId="410C4E3D" w14:textId="5BD90D73" w:rsidR="00F7411A" w:rsidRPr="00D73A1E" w:rsidRDefault="00C83E3A" w:rsidP="00D73A1E">
      <w:pPr>
        <w:pStyle w:val="SingleTxtG"/>
        <w:ind w:firstLine="567"/>
        <w:rPr>
          <w:rFonts w:eastAsia="Calibri"/>
          <w:b/>
          <w:bCs/>
        </w:rPr>
      </w:pPr>
      <w:r w:rsidRPr="00D73A1E">
        <w:rPr>
          <w:rFonts w:eastAsia="Calibri"/>
          <w:b/>
          <w:bCs/>
        </w:rPr>
        <w:tab/>
        <w:t>(a)</w:t>
      </w:r>
      <w:r w:rsidR="00CB0B42" w:rsidRPr="00D73A1E">
        <w:rPr>
          <w:rFonts w:eastAsia="Calibri"/>
          <w:b/>
          <w:bCs/>
        </w:rPr>
        <w:tab/>
      </w:r>
      <w:r w:rsidR="00F37B58" w:rsidRPr="00D73A1E">
        <w:rPr>
          <w:rFonts w:eastAsia="Calibri"/>
          <w:b/>
          <w:bCs/>
        </w:rPr>
        <w:t>Withdraw</w:t>
      </w:r>
      <w:r w:rsidR="00CB0B42" w:rsidRPr="00D73A1E">
        <w:rPr>
          <w:rFonts w:eastAsia="Calibri"/>
          <w:b/>
          <w:bCs/>
        </w:rPr>
        <w:t xml:space="preserve"> legislation and practices restricting parental rights of persons with disabilities </w:t>
      </w:r>
      <w:r w:rsidR="00B34291" w:rsidRPr="00D73A1E">
        <w:rPr>
          <w:rFonts w:eastAsia="Calibri"/>
          <w:b/>
          <w:bCs/>
        </w:rPr>
        <w:t>whose legal capacity has been restricted</w:t>
      </w:r>
      <w:r w:rsidR="00CB0B42" w:rsidRPr="00D73A1E">
        <w:rPr>
          <w:rFonts w:eastAsia="Calibri"/>
          <w:b/>
          <w:bCs/>
        </w:rPr>
        <w:t xml:space="preserve"> and enforc</w:t>
      </w:r>
      <w:r w:rsidR="00C34A00" w:rsidRPr="00D73A1E">
        <w:rPr>
          <w:rFonts w:eastAsia="Calibri"/>
          <w:b/>
          <w:bCs/>
        </w:rPr>
        <w:t>e</w:t>
      </w:r>
      <w:r w:rsidR="00B34291" w:rsidRPr="00D73A1E">
        <w:rPr>
          <w:rFonts w:eastAsia="Calibri"/>
          <w:b/>
          <w:bCs/>
        </w:rPr>
        <w:t xml:space="preserve"> </w:t>
      </w:r>
      <w:r w:rsidR="00CB0B42" w:rsidRPr="00D73A1E">
        <w:rPr>
          <w:rFonts w:eastAsia="Calibri"/>
          <w:b/>
          <w:bCs/>
        </w:rPr>
        <w:t xml:space="preserve">provisions in the </w:t>
      </w:r>
      <w:r w:rsidR="00CB0B42" w:rsidRPr="00D73A1E">
        <w:rPr>
          <w:b/>
          <w:bCs/>
        </w:rPr>
        <w:lastRenderedPageBreak/>
        <w:t xml:space="preserve">Code of the Rights of the Child prohibiting separation </w:t>
      </w:r>
      <w:r w:rsidR="00CB0B42" w:rsidRPr="00D73A1E">
        <w:rPr>
          <w:rFonts w:eastAsia="Calibri"/>
          <w:b/>
          <w:bCs/>
        </w:rPr>
        <w:t xml:space="preserve">of children from their parents </w:t>
      </w:r>
      <w:proofErr w:type="gramStart"/>
      <w:r w:rsidR="00CB0B42" w:rsidRPr="00D73A1E">
        <w:rPr>
          <w:rFonts w:eastAsia="Calibri"/>
          <w:b/>
          <w:bCs/>
        </w:rPr>
        <w:t>on the basis of</w:t>
      </w:r>
      <w:proofErr w:type="gramEnd"/>
      <w:r w:rsidR="00CB0B42" w:rsidRPr="00D73A1E">
        <w:rPr>
          <w:rFonts w:eastAsia="Calibri"/>
          <w:b/>
          <w:bCs/>
        </w:rPr>
        <w:t xml:space="preserve"> disability of the child or the parent</w:t>
      </w:r>
      <w:r w:rsidR="00F37B58" w:rsidRPr="00D73A1E">
        <w:rPr>
          <w:rFonts w:eastAsia="Calibri"/>
          <w:b/>
          <w:bCs/>
        </w:rPr>
        <w:t>, as</w:t>
      </w:r>
      <w:r w:rsidR="00CB0B42" w:rsidRPr="00D73A1E">
        <w:rPr>
          <w:rFonts w:eastAsia="Calibri"/>
          <w:b/>
          <w:bCs/>
        </w:rPr>
        <w:t xml:space="preserve"> indicated by the State party in its replies to the list of issues to the Committee (CRPD/C/GEO/RQ/1, para. 115</w:t>
      </w:r>
      <w:proofErr w:type="gramStart"/>
      <w:r w:rsidR="00CB0B42" w:rsidRPr="00D73A1E">
        <w:rPr>
          <w:rFonts w:eastAsia="Calibri"/>
          <w:b/>
          <w:bCs/>
        </w:rPr>
        <w:t>);</w:t>
      </w:r>
      <w:proofErr w:type="gramEnd"/>
      <w:r w:rsidR="00CB0B42" w:rsidRPr="00D73A1E">
        <w:rPr>
          <w:rFonts w:eastAsia="Calibri"/>
          <w:b/>
          <w:bCs/>
        </w:rPr>
        <w:t xml:space="preserve"> </w:t>
      </w:r>
    </w:p>
    <w:p w14:paraId="504E81D8" w14:textId="7EF02F2C" w:rsidR="00B73C9E" w:rsidRPr="00D73A1E" w:rsidRDefault="00C52FD2" w:rsidP="00D73A1E">
      <w:pPr>
        <w:pStyle w:val="SingleTxtG"/>
        <w:ind w:firstLine="567"/>
        <w:rPr>
          <w:rFonts w:eastAsia="Calibri"/>
          <w:b/>
          <w:bCs/>
        </w:rPr>
      </w:pPr>
      <w:r w:rsidRPr="00D73A1E">
        <w:rPr>
          <w:rFonts w:eastAsia="Calibri"/>
          <w:b/>
          <w:bCs/>
        </w:rPr>
        <w:tab/>
        <w:t>(b)</w:t>
      </w:r>
      <w:r w:rsidRPr="00D73A1E">
        <w:rPr>
          <w:rFonts w:eastAsia="Calibri"/>
          <w:b/>
          <w:bCs/>
        </w:rPr>
        <w:tab/>
      </w:r>
      <w:r w:rsidR="00F37B58" w:rsidRPr="00D73A1E">
        <w:rPr>
          <w:rFonts w:eastAsia="Calibri"/>
          <w:b/>
        </w:rPr>
        <w:t xml:space="preserve">Conduct </w:t>
      </w:r>
      <w:r w:rsidR="00174204" w:rsidRPr="00D73A1E">
        <w:rPr>
          <w:rFonts w:eastAsia="Calibri"/>
          <w:b/>
        </w:rPr>
        <w:t>consultations with</w:t>
      </w:r>
      <w:r w:rsidR="007F6BE3" w:rsidRPr="00D73A1E">
        <w:rPr>
          <w:rFonts w:eastAsia="Calibri"/>
          <w:b/>
        </w:rPr>
        <w:t xml:space="preserve"> organizations of persons with disabilities, including children with disabilities</w:t>
      </w:r>
      <w:r w:rsidR="00F37B58" w:rsidRPr="00D73A1E">
        <w:rPr>
          <w:rFonts w:eastAsia="Calibri"/>
          <w:b/>
        </w:rPr>
        <w:t>,</w:t>
      </w:r>
      <w:r w:rsidR="007F6BE3" w:rsidRPr="00D73A1E">
        <w:rPr>
          <w:rFonts w:eastAsia="Calibri"/>
          <w:b/>
        </w:rPr>
        <w:t xml:space="preserve"> at the national and municipal level to adopt strategies in the short-</w:t>
      </w:r>
      <w:r w:rsidR="00F37B58" w:rsidRPr="00D73A1E">
        <w:rPr>
          <w:rFonts w:eastAsia="Calibri"/>
          <w:b/>
        </w:rPr>
        <w:t xml:space="preserve"> </w:t>
      </w:r>
      <w:r w:rsidR="007F6BE3" w:rsidRPr="00D73A1E">
        <w:rPr>
          <w:rFonts w:eastAsia="Calibri"/>
          <w:b/>
        </w:rPr>
        <w:t>and</w:t>
      </w:r>
      <w:r w:rsidR="00F37B58" w:rsidRPr="00D73A1E">
        <w:rPr>
          <w:rFonts w:eastAsia="Calibri"/>
          <w:b/>
        </w:rPr>
        <w:t xml:space="preserve"> </w:t>
      </w:r>
      <w:r w:rsidR="007F6BE3" w:rsidRPr="00D73A1E">
        <w:rPr>
          <w:rFonts w:eastAsia="Calibri"/>
          <w:b/>
        </w:rPr>
        <w:t xml:space="preserve">long-term aimed at </w:t>
      </w:r>
      <w:r w:rsidR="00F37B58" w:rsidRPr="00D73A1E">
        <w:rPr>
          <w:rFonts w:eastAsia="Calibri"/>
          <w:b/>
        </w:rPr>
        <w:t>providing</w:t>
      </w:r>
      <w:r w:rsidR="007F6BE3" w:rsidRPr="00D73A1E">
        <w:rPr>
          <w:rFonts w:eastAsia="Calibri"/>
          <w:b/>
        </w:rPr>
        <w:t xml:space="preserve"> support and services</w:t>
      </w:r>
      <w:r w:rsidR="00D56698" w:rsidRPr="00D73A1E">
        <w:rPr>
          <w:rFonts w:eastAsia="Calibri"/>
          <w:b/>
        </w:rPr>
        <w:t xml:space="preserve"> for children with disabilities and their families</w:t>
      </w:r>
      <w:r w:rsidR="00DF6755" w:rsidRPr="00D73A1E">
        <w:rPr>
          <w:rFonts w:eastAsia="Calibri"/>
          <w:b/>
        </w:rPr>
        <w:t xml:space="preserve"> in the community</w:t>
      </w:r>
      <w:r w:rsidR="00D56698" w:rsidRPr="00D73A1E">
        <w:rPr>
          <w:rFonts w:eastAsia="Calibri"/>
          <w:b/>
        </w:rPr>
        <w:t xml:space="preserve">, including </w:t>
      </w:r>
      <w:r w:rsidR="00655E1D" w:rsidRPr="00D73A1E">
        <w:rPr>
          <w:rFonts w:eastAsia="Calibri"/>
          <w:b/>
        </w:rPr>
        <w:t xml:space="preserve">training on parental skills, information </w:t>
      </w:r>
      <w:r w:rsidR="00174204" w:rsidRPr="00D73A1E">
        <w:rPr>
          <w:rFonts w:eastAsia="Calibri"/>
          <w:b/>
        </w:rPr>
        <w:t>centres</w:t>
      </w:r>
      <w:r w:rsidR="00655E1D" w:rsidRPr="00D73A1E">
        <w:rPr>
          <w:rFonts w:eastAsia="Calibri"/>
          <w:b/>
        </w:rPr>
        <w:t xml:space="preserve"> and tools </w:t>
      </w:r>
      <w:r w:rsidR="00F37B58" w:rsidRPr="00D73A1E">
        <w:rPr>
          <w:rFonts w:eastAsia="Calibri"/>
          <w:b/>
        </w:rPr>
        <w:t>to develop</w:t>
      </w:r>
      <w:r w:rsidR="00655E1D" w:rsidRPr="00D73A1E">
        <w:rPr>
          <w:rFonts w:eastAsia="Calibri"/>
          <w:b/>
        </w:rPr>
        <w:t xml:space="preserve"> parental skills in Easy Read, </w:t>
      </w:r>
      <w:r w:rsidR="00D56698" w:rsidRPr="00D73A1E">
        <w:rPr>
          <w:rFonts w:eastAsia="Calibri"/>
          <w:b/>
        </w:rPr>
        <w:t>the</w:t>
      </w:r>
      <w:r w:rsidR="002A43A6" w:rsidRPr="00D73A1E">
        <w:rPr>
          <w:rFonts w:eastAsia="Calibri"/>
          <w:b/>
        </w:rPr>
        <w:t xml:space="preserve"> provision of</w:t>
      </w:r>
      <w:r w:rsidR="00D56698" w:rsidRPr="00D73A1E">
        <w:rPr>
          <w:rFonts w:eastAsia="Calibri"/>
          <w:b/>
        </w:rPr>
        <w:t xml:space="preserve"> appropriate level</w:t>
      </w:r>
      <w:r w:rsidR="00F37B58" w:rsidRPr="00D73A1E">
        <w:rPr>
          <w:rFonts w:eastAsia="Calibri"/>
          <w:b/>
        </w:rPr>
        <w:t>s</w:t>
      </w:r>
      <w:r w:rsidR="00D56698" w:rsidRPr="00D73A1E">
        <w:rPr>
          <w:rFonts w:eastAsia="Calibri"/>
          <w:b/>
        </w:rPr>
        <w:t xml:space="preserve"> of income, </w:t>
      </w:r>
      <w:r w:rsidR="00B73C9E" w:rsidRPr="00D73A1E">
        <w:rPr>
          <w:b/>
          <w:color w:val="000000" w:themeColor="text1"/>
          <w:lang w:val="en-US"/>
        </w:rPr>
        <w:t>counseling</w:t>
      </w:r>
      <w:r w:rsidR="00D56698" w:rsidRPr="00D73A1E">
        <w:rPr>
          <w:b/>
          <w:color w:val="000000" w:themeColor="text1"/>
          <w:lang w:val="en-US"/>
        </w:rPr>
        <w:t xml:space="preserve">, </w:t>
      </w:r>
      <w:r w:rsidR="002A43A6" w:rsidRPr="00D73A1E">
        <w:rPr>
          <w:b/>
          <w:color w:val="000000" w:themeColor="text1"/>
          <w:lang w:val="en-US"/>
        </w:rPr>
        <w:t xml:space="preserve">in-home care </w:t>
      </w:r>
      <w:r w:rsidR="00D56698" w:rsidRPr="00D73A1E">
        <w:rPr>
          <w:b/>
          <w:color w:val="000000" w:themeColor="text1"/>
          <w:lang w:val="en-US"/>
        </w:rPr>
        <w:t>support, and information abo</w:t>
      </w:r>
      <w:r w:rsidR="00C3706D" w:rsidRPr="00D73A1E">
        <w:rPr>
          <w:b/>
          <w:color w:val="000000" w:themeColor="text1"/>
          <w:lang w:val="en-US"/>
        </w:rPr>
        <w:t>u</w:t>
      </w:r>
      <w:r w:rsidR="00D56698" w:rsidRPr="00D73A1E">
        <w:rPr>
          <w:b/>
          <w:color w:val="000000" w:themeColor="text1"/>
          <w:lang w:val="en-US"/>
        </w:rPr>
        <w:t>t these services in accessible formats</w:t>
      </w:r>
      <w:r w:rsidR="00F37B58" w:rsidRPr="00D73A1E">
        <w:rPr>
          <w:b/>
          <w:bCs/>
          <w:color w:val="000000" w:themeColor="text1"/>
          <w:lang w:val="en-US"/>
        </w:rPr>
        <w:t>;</w:t>
      </w:r>
    </w:p>
    <w:p w14:paraId="729FA903" w14:textId="76B2C690" w:rsidR="00047354" w:rsidRPr="00502ECB" w:rsidRDefault="00E04D38" w:rsidP="00047354">
      <w:pPr>
        <w:pStyle w:val="SingleTxtG"/>
        <w:ind w:firstLine="567"/>
        <w:rPr>
          <w:rFonts w:eastAsia="Calibri"/>
          <w:b/>
        </w:rPr>
      </w:pPr>
      <w:r w:rsidRPr="00D73A1E">
        <w:rPr>
          <w:rFonts w:eastAsia="Calibri"/>
          <w:b/>
          <w:bCs/>
        </w:rPr>
        <w:t>(</w:t>
      </w:r>
      <w:r w:rsidR="007F6BE3" w:rsidRPr="00D73A1E">
        <w:rPr>
          <w:rFonts w:eastAsia="Calibri"/>
          <w:b/>
          <w:bCs/>
        </w:rPr>
        <w:t>c</w:t>
      </w:r>
      <w:r w:rsidRPr="00D73A1E">
        <w:rPr>
          <w:rFonts w:eastAsia="Calibri"/>
          <w:b/>
          <w:bCs/>
        </w:rPr>
        <w:t>)</w:t>
      </w:r>
      <w:r w:rsidRPr="00D73A1E">
        <w:rPr>
          <w:rFonts w:eastAsia="Calibri"/>
          <w:b/>
          <w:bCs/>
        </w:rPr>
        <w:tab/>
      </w:r>
      <w:r w:rsidR="00F37B58" w:rsidRPr="00D73A1E">
        <w:rPr>
          <w:rFonts w:eastAsia="Calibri"/>
          <w:b/>
          <w:bCs/>
        </w:rPr>
        <w:t>Support parents with disabilities in their child rearing responsibilities,</w:t>
      </w:r>
      <w:r w:rsidR="00F37B58" w:rsidRPr="00502ECB">
        <w:rPr>
          <w:rFonts w:eastAsia="Calibri"/>
          <w:b/>
        </w:rPr>
        <w:t xml:space="preserve"> and</w:t>
      </w:r>
      <w:r w:rsidR="00C3706D" w:rsidRPr="00502ECB">
        <w:rPr>
          <w:rFonts w:eastAsia="Calibri"/>
          <w:b/>
        </w:rPr>
        <w:t xml:space="preserve"> </w:t>
      </w:r>
      <w:r w:rsidR="004837D2">
        <w:rPr>
          <w:rFonts w:eastAsia="Calibri"/>
          <w:b/>
        </w:rPr>
        <w:t>m</w:t>
      </w:r>
      <w:r w:rsidR="00C3706D" w:rsidRPr="00502ECB">
        <w:rPr>
          <w:rFonts w:eastAsia="Calibri"/>
          <w:b/>
        </w:rPr>
        <w:t>onitor</w:t>
      </w:r>
      <w:r w:rsidR="00F37B58" w:rsidRPr="00502ECB">
        <w:rPr>
          <w:rFonts w:eastAsia="Calibri"/>
          <w:b/>
        </w:rPr>
        <w:t xml:space="preserve"> periodically programmes and subprogrammes on child rehabilitation and </w:t>
      </w:r>
      <w:proofErr w:type="gramStart"/>
      <w:r w:rsidR="00F37B58" w:rsidRPr="00502ECB">
        <w:rPr>
          <w:rFonts w:eastAsia="Calibri"/>
          <w:b/>
        </w:rPr>
        <w:t>child care</w:t>
      </w:r>
      <w:proofErr w:type="gramEnd"/>
      <w:r w:rsidR="00F37B58" w:rsidRPr="00502ECB">
        <w:rPr>
          <w:rFonts w:eastAsia="Calibri"/>
          <w:b/>
        </w:rPr>
        <w:t>, and introduce the necessary adjustments.</w:t>
      </w:r>
    </w:p>
    <w:p w14:paraId="7223C110" w14:textId="1C9E61E9" w:rsidR="00047354" w:rsidRPr="00502ECB" w:rsidRDefault="00047354" w:rsidP="00047354">
      <w:pPr>
        <w:pStyle w:val="H23G"/>
        <w:outlineLvl w:val="2"/>
      </w:pPr>
      <w:r w:rsidRPr="00502ECB">
        <w:tab/>
      </w:r>
      <w:r w:rsidRPr="00502ECB">
        <w:tab/>
        <w:t>Education (art. 24)</w:t>
      </w:r>
    </w:p>
    <w:p w14:paraId="4DC49081" w14:textId="69BE3E2B" w:rsidR="003D3B6C" w:rsidRPr="00502ECB" w:rsidRDefault="00047354" w:rsidP="00EA7400">
      <w:pPr>
        <w:pStyle w:val="SingleTxtG"/>
      </w:pPr>
      <w:r w:rsidRPr="00502ECB">
        <w:t>49.</w:t>
      </w:r>
      <w:r w:rsidRPr="00502ECB">
        <w:tab/>
        <w:t xml:space="preserve">The Committee </w:t>
      </w:r>
      <w:r w:rsidR="003D3B6C" w:rsidRPr="00502ECB">
        <w:t>observes with concern</w:t>
      </w:r>
      <w:r w:rsidRPr="00502ECB">
        <w:t xml:space="preserve">: </w:t>
      </w:r>
      <w:r w:rsidR="003D3B6C" w:rsidRPr="00502ECB">
        <w:t xml:space="preserve"> </w:t>
      </w:r>
    </w:p>
    <w:p w14:paraId="4CA4FC66" w14:textId="74EDBA5C" w:rsidR="00EA7400" w:rsidRPr="00502ECB" w:rsidRDefault="003D3B6C" w:rsidP="00D73A1E">
      <w:pPr>
        <w:pStyle w:val="SingleTxtG"/>
        <w:ind w:firstLine="567"/>
      </w:pPr>
      <w:r w:rsidRPr="00502ECB">
        <w:t>(</w:t>
      </w:r>
      <w:r w:rsidR="00EA7400" w:rsidRPr="00502ECB">
        <w:t>a</w:t>
      </w:r>
      <w:r w:rsidRPr="00502ECB">
        <w:t>)</w:t>
      </w:r>
      <w:r w:rsidRPr="00502ECB">
        <w:tab/>
      </w:r>
      <w:r w:rsidR="00624A80" w:rsidRPr="00502ECB">
        <w:t>That inclusive quality education has not been included in the</w:t>
      </w:r>
      <w:r w:rsidR="00624A80" w:rsidRPr="00502ECB">
        <w:rPr>
          <w:b/>
        </w:rPr>
        <w:t xml:space="preserve"> </w:t>
      </w:r>
      <w:r w:rsidR="00624A80" w:rsidRPr="00502ECB">
        <w:rPr>
          <w:bCs/>
        </w:rPr>
        <w:t xml:space="preserve">Unified National Strategy for Education and Science of Georgia (2022-2030) and the </w:t>
      </w:r>
      <w:r w:rsidR="00047354" w:rsidRPr="00502ECB">
        <w:t xml:space="preserve">prevalence of </w:t>
      </w:r>
      <w:r w:rsidR="00047354" w:rsidRPr="00502ECB">
        <w:rPr>
          <w:lang w:val="en-US"/>
        </w:rPr>
        <w:t>special education</w:t>
      </w:r>
      <w:r w:rsidRPr="00502ECB">
        <w:rPr>
          <w:lang w:val="en-US"/>
        </w:rPr>
        <w:t xml:space="preserve"> in executive provisions, such as the </w:t>
      </w:r>
      <w:hyperlink r:id="rId8" w:history="1">
        <w:r w:rsidRPr="00502ECB">
          <w:rPr>
            <w:rStyle w:val="Hyperlink"/>
            <w:lang w:val="en-US"/>
          </w:rPr>
          <w:t> Decree N05/N</w:t>
        </w:r>
      </w:hyperlink>
      <w:r w:rsidRPr="00502ECB">
        <w:rPr>
          <w:lang w:val="en-US"/>
        </w:rPr>
        <w:t> on the Enrolment of Students in the Institutions of General Education and Termination of the Status of a Student,</w:t>
      </w:r>
      <w:r w:rsidR="00C430F8" w:rsidRPr="00502ECB">
        <w:rPr>
          <w:lang w:val="en-US"/>
        </w:rPr>
        <w:t xml:space="preserve"> defining support to chi</w:t>
      </w:r>
      <w:r w:rsidR="00DF6755" w:rsidRPr="00502ECB">
        <w:rPr>
          <w:lang w:val="en-US"/>
        </w:rPr>
        <w:t xml:space="preserve">ldren </w:t>
      </w:r>
      <w:r w:rsidR="00C430F8" w:rsidRPr="00502ECB">
        <w:rPr>
          <w:lang w:val="en-US"/>
        </w:rPr>
        <w:t>with disabilities</w:t>
      </w:r>
      <w:r w:rsidR="00F37B58" w:rsidRPr="00502ECB">
        <w:rPr>
          <w:lang w:val="en-US"/>
        </w:rPr>
        <w:t xml:space="preserve"> </w:t>
      </w:r>
      <w:r w:rsidR="00453022">
        <w:rPr>
          <w:lang w:val="en-US"/>
        </w:rPr>
        <w:t xml:space="preserve">mainly </w:t>
      </w:r>
      <w:r w:rsidR="00C430F8" w:rsidRPr="00502ECB">
        <w:rPr>
          <w:lang w:val="en-US"/>
        </w:rPr>
        <w:t>on the basis of medical assessment</w:t>
      </w:r>
      <w:r w:rsidR="00CA33D5" w:rsidRPr="00502ECB">
        <w:rPr>
          <w:lang w:val="en-US"/>
        </w:rPr>
        <w:t>s</w:t>
      </w:r>
      <w:r w:rsidR="00F37B58" w:rsidRPr="00502ECB">
        <w:rPr>
          <w:lang w:val="en-US"/>
        </w:rPr>
        <w:t>,</w:t>
      </w:r>
      <w:r w:rsidR="00C430F8" w:rsidRPr="00502ECB">
        <w:rPr>
          <w:lang w:val="en-US"/>
        </w:rPr>
        <w:t xml:space="preserve"> </w:t>
      </w:r>
      <w:r w:rsidR="00EA7400" w:rsidRPr="00502ECB">
        <w:rPr>
          <w:lang w:val="en-US"/>
        </w:rPr>
        <w:t xml:space="preserve">and the absence of </w:t>
      </w:r>
      <w:r w:rsidR="00EA7400" w:rsidRPr="00502ECB">
        <w:t>monitoring, coordination and accountability mechanisms concerning implementation of inclusive education in early and pre-school education;</w:t>
      </w:r>
    </w:p>
    <w:p w14:paraId="2772AF5F" w14:textId="165487D0" w:rsidR="00DF6755" w:rsidRPr="00502ECB" w:rsidRDefault="00C430F8" w:rsidP="00D73A1E">
      <w:pPr>
        <w:pStyle w:val="SingleTxtG"/>
        <w:ind w:firstLine="567"/>
      </w:pPr>
      <w:r w:rsidRPr="00502ECB">
        <w:rPr>
          <w:lang w:val="en-US"/>
        </w:rPr>
        <w:t>(</w:t>
      </w:r>
      <w:r w:rsidR="00EA7400" w:rsidRPr="00502ECB">
        <w:rPr>
          <w:lang w:val="en-US"/>
        </w:rPr>
        <w:t>b</w:t>
      </w:r>
      <w:r w:rsidRPr="00502ECB">
        <w:rPr>
          <w:lang w:val="en-US"/>
        </w:rPr>
        <w:t>)</w:t>
      </w:r>
      <w:r w:rsidRPr="00502ECB">
        <w:rPr>
          <w:lang w:val="en-US"/>
        </w:rPr>
        <w:tab/>
        <w:t>That c</w:t>
      </w:r>
      <w:r w:rsidR="00047354" w:rsidRPr="00502ECB">
        <w:rPr>
          <w:lang w:val="en-US"/>
        </w:rPr>
        <w:t>hildren with hearing i</w:t>
      </w:r>
      <w:r w:rsidR="003D3B6C" w:rsidRPr="00502ECB">
        <w:rPr>
          <w:lang w:val="en-US"/>
        </w:rPr>
        <w:t>mpairments</w:t>
      </w:r>
      <w:r w:rsidR="00EA7400" w:rsidRPr="00502ECB">
        <w:rPr>
          <w:lang w:val="en-US"/>
        </w:rPr>
        <w:t xml:space="preserve"> </w:t>
      </w:r>
      <w:r w:rsidR="00047354" w:rsidRPr="00502ECB">
        <w:rPr>
          <w:lang w:val="en-US"/>
        </w:rPr>
        <w:t xml:space="preserve">and </w:t>
      </w:r>
      <w:r w:rsidR="003D3B6C" w:rsidRPr="00502ECB">
        <w:rPr>
          <w:lang w:val="en-US"/>
        </w:rPr>
        <w:t xml:space="preserve">children with </w:t>
      </w:r>
      <w:r w:rsidR="00047354" w:rsidRPr="00502ECB">
        <w:rPr>
          <w:lang w:val="en-US"/>
        </w:rPr>
        <w:t>autis</w:t>
      </w:r>
      <w:r w:rsidR="003D3B6C" w:rsidRPr="00502ECB">
        <w:rPr>
          <w:lang w:val="en-US"/>
        </w:rPr>
        <w:t xml:space="preserve">m </w:t>
      </w:r>
      <w:r w:rsidRPr="00502ECB">
        <w:rPr>
          <w:lang w:val="en-US"/>
        </w:rPr>
        <w:t>continue to be enrolled in special education</w:t>
      </w:r>
      <w:r w:rsidR="00F37B58" w:rsidRPr="00502ECB">
        <w:rPr>
          <w:lang w:val="en-US"/>
        </w:rPr>
        <w:t>,</w:t>
      </w:r>
      <w:r w:rsidRPr="00502ECB">
        <w:rPr>
          <w:lang w:val="en-US"/>
        </w:rPr>
        <w:t xml:space="preserve"> </w:t>
      </w:r>
      <w:r w:rsidR="003D3B6C" w:rsidRPr="00502ECB">
        <w:rPr>
          <w:lang w:val="en-US"/>
        </w:rPr>
        <w:t>and</w:t>
      </w:r>
      <w:r w:rsidRPr="00502ECB">
        <w:rPr>
          <w:lang w:val="en-US"/>
        </w:rPr>
        <w:t xml:space="preserve"> the </w:t>
      </w:r>
      <w:r w:rsidR="003D3B6C" w:rsidRPr="00502ECB">
        <w:rPr>
          <w:lang w:val="en-US"/>
        </w:rPr>
        <w:t xml:space="preserve">limited information about access to inclusive education of </w:t>
      </w:r>
      <w:r w:rsidR="00047354" w:rsidRPr="00502ECB">
        <w:t>children with high</w:t>
      </w:r>
      <w:r w:rsidR="003D3B6C" w:rsidRPr="00502ECB">
        <w:t xml:space="preserve">er requirements of </w:t>
      </w:r>
      <w:proofErr w:type="gramStart"/>
      <w:r w:rsidR="00047354" w:rsidRPr="00502ECB">
        <w:t>support</w:t>
      </w:r>
      <w:r w:rsidR="003D3B6C" w:rsidRPr="00502ECB">
        <w:t>;</w:t>
      </w:r>
      <w:proofErr w:type="gramEnd"/>
    </w:p>
    <w:p w14:paraId="49741EC3" w14:textId="07B0CDDE" w:rsidR="00047354" w:rsidRPr="00502ECB" w:rsidRDefault="00047354" w:rsidP="00D73A1E">
      <w:pPr>
        <w:pStyle w:val="SingleTxtG"/>
        <w:ind w:firstLine="567"/>
      </w:pPr>
      <w:r w:rsidRPr="00502ECB">
        <w:t>(</w:t>
      </w:r>
      <w:r w:rsidR="002603CB" w:rsidRPr="00502ECB">
        <w:t>c</w:t>
      </w:r>
      <w:r w:rsidRPr="00502ECB">
        <w:t>)</w:t>
      </w:r>
      <w:r w:rsidRPr="00502ECB">
        <w:tab/>
      </w:r>
      <w:r w:rsidR="00C430F8" w:rsidRPr="00502ECB">
        <w:rPr>
          <w:lang w:val="en-US"/>
        </w:rPr>
        <w:t>T</w:t>
      </w:r>
      <w:r w:rsidR="003D3B6C" w:rsidRPr="00502ECB">
        <w:rPr>
          <w:lang w:val="en-US"/>
        </w:rPr>
        <w:t xml:space="preserve">hat girls with disabilities are promoted less in their educational endeavors than boys with disabilities and face stereotyping, as do children with disabilities belonging to ethnic minorities, and </w:t>
      </w:r>
      <w:r w:rsidR="003370ED" w:rsidRPr="00502ECB">
        <w:rPr>
          <w:lang w:val="en-US"/>
        </w:rPr>
        <w:t xml:space="preserve">children with hearing </w:t>
      </w:r>
      <w:proofErr w:type="gramStart"/>
      <w:r w:rsidR="003370ED" w:rsidRPr="00502ECB">
        <w:rPr>
          <w:lang w:val="en-US"/>
        </w:rPr>
        <w:t>impairments</w:t>
      </w:r>
      <w:r w:rsidR="003D3B6C" w:rsidRPr="00502ECB">
        <w:rPr>
          <w:lang w:val="en-US"/>
        </w:rPr>
        <w:t>;</w:t>
      </w:r>
      <w:proofErr w:type="gramEnd"/>
    </w:p>
    <w:p w14:paraId="0C126779" w14:textId="2095F280" w:rsidR="00047354" w:rsidRPr="00502ECB" w:rsidRDefault="003D3B6C" w:rsidP="00D73A1E">
      <w:pPr>
        <w:pStyle w:val="SingleTxtG"/>
        <w:ind w:firstLine="567"/>
        <w:rPr>
          <w:lang w:val="en-US"/>
        </w:rPr>
      </w:pPr>
      <w:r w:rsidRPr="00502ECB">
        <w:rPr>
          <w:lang w:val="en-US"/>
        </w:rPr>
        <w:t>(</w:t>
      </w:r>
      <w:r w:rsidR="002603CB" w:rsidRPr="00502ECB">
        <w:rPr>
          <w:lang w:val="en-US"/>
        </w:rPr>
        <w:t>d</w:t>
      </w:r>
      <w:r w:rsidR="00047354" w:rsidRPr="00502ECB">
        <w:rPr>
          <w:lang w:val="en-US"/>
        </w:rPr>
        <w:t>)</w:t>
      </w:r>
      <w:r w:rsidR="00047354" w:rsidRPr="00502ECB">
        <w:rPr>
          <w:lang w:val="en-US"/>
        </w:rPr>
        <w:tab/>
      </w:r>
      <w:r w:rsidR="002050F9" w:rsidRPr="00502ECB">
        <w:rPr>
          <w:lang w:val="en-US"/>
        </w:rPr>
        <w:t>S</w:t>
      </w:r>
      <w:r w:rsidR="00047354" w:rsidRPr="00502ECB">
        <w:rPr>
          <w:lang w:val="en-US"/>
        </w:rPr>
        <w:t xml:space="preserve">tatistical data on </w:t>
      </w:r>
      <w:r w:rsidR="00671DE2" w:rsidRPr="00502ECB">
        <w:rPr>
          <w:lang w:val="en-US"/>
        </w:rPr>
        <w:t>students</w:t>
      </w:r>
      <w:r w:rsidR="00047354" w:rsidRPr="00502ECB">
        <w:rPr>
          <w:lang w:val="en-US"/>
        </w:rPr>
        <w:t xml:space="preserve"> with disabilities in </w:t>
      </w:r>
      <w:r w:rsidR="00671DE2" w:rsidRPr="00502ECB">
        <w:rPr>
          <w:lang w:val="en-US"/>
        </w:rPr>
        <w:t xml:space="preserve">education is limited or </w:t>
      </w:r>
      <w:r w:rsidR="00047354" w:rsidRPr="00502ECB">
        <w:rPr>
          <w:lang w:val="en-US"/>
        </w:rPr>
        <w:t>missing,</w:t>
      </w:r>
      <w:r w:rsidR="00453022">
        <w:rPr>
          <w:lang w:val="en-US"/>
        </w:rPr>
        <w:t xml:space="preserve"> including drop-out rates,</w:t>
      </w:r>
      <w:r w:rsidR="00047354" w:rsidRPr="00502ECB">
        <w:rPr>
          <w:lang w:val="en-US"/>
        </w:rPr>
        <w:t xml:space="preserve"> qualified staff, including teachers, is scarce, classrooms are often overcrowded, and infrastructure is often not safe, accessible and properly equipped for children with disabilities, and classroom material is frequently inaccessible</w:t>
      </w:r>
      <w:r w:rsidR="00671DE2" w:rsidRPr="00502ECB">
        <w:rPr>
          <w:lang w:val="en-US"/>
        </w:rPr>
        <w:t xml:space="preserve"> </w:t>
      </w:r>
      <w:r w:rsidR="00047354" w:rsidRPr="00502ECB">
        <w:rPr>
          <w:lang w:val="en-US"/>
        </w:rPr>
        <w:t xml:space="preserve">or </w:t>
      </w:r>
      <w:proofErr w:type="gramStart"/>
      <w:r w:rsidR="00671DE2" w:rsidRPr="00502ECB">
        <w:rPr>
          <w:lang w:val="en-US"/>
        </w:rPr>
        <w:t>in</w:t>
      </w:r>
      <w:r w:rsidR="00047354" w:rsidRPr="00502ECB">
        <w:rPr>
          <w:lang w:val="en-US"/>
        </w:rPr>
        <w:t>sufficient;</w:t>
      </w:r>
      <w:proofErr w:type="gramEnd"/>
    </w:p>
    <w:p w14:paraId="06CD08A4" w14:textId="4D3B2039" w:rsidR="00047354" w:rsidRPr="00502ECB" w:rsidRDefault="00C430F8" w:rsidP="00D73A1E">
      <w:pPr>
        <w:pStyle w:val="SingleTxtG"/>
        <w:ind w:firstLine="567"/>
        <w:rPr>
          <w:lang w:val="en-US"/>
        </w:rPr>
      </w:pPr>
      <w:r w:rsidRPr="00502ECB">
        <w:rPr>
          <w:lang w:val="en-US"/>
        </w:rPr>
        <w:t>(</w:t>
      </w:r>
      <w:r w:rsidR="002603CB" w:rsidRPr="00502ECB">
        <w:rPr>
          <w:lang w:val="en-US"/>
        </w:rPr>
        <w:t>e</w:t>
      </w:r>
      <w:r w:rsidR="00047354" w:rsidRPr="00502ECB">
        <w:rPr>
          <w:lang w:val="en-US"/>
        </w:rPr>
        <w:t>)</w:t>
      </w:r>
      <w:r w:rsidR="00047354" w:rsidRPr="00502ECB">
        <w:rPr>
          <w:lang w:val="en-US"/>
        </w:rPr>
        <w:tab/>
      </w:r>
      <w:r w:rsidRPr="00502ECB">
        <w:rPr>
          <w:lang w:val="en-US"/>
        </w:rPr>
        <w:t>T</w:t>
      </w:r>
      <w:r w:rsidR="00047354" w:rsidRPr="00502ECB">
        <w:rPr>
          <w:lang w:val="en-US"/>
        </w:rPr>
        <w:t xml:space="preserve">he lack of participation of persons with disabilities and their representative organizations in designing, </w:t>
      </w:r>
      <w:r w:rsidR="00F37B58" w:rsidRPr="00502ECB">
        <w:rPr>
          <w:lang w:val="en-US"/>
        </w:rPr>
        <w:t xml:space="preserve">implementing </w:t>
      </w:r>
      <w:r w:rsidR="00047354" w:rsidRPr="00502ECB">
        <w:rPr>
          <w:lang w:val="en-US"/>
        </w:rPr>
        <w:t>and monitoring of the </w:t>
      </w:r>
      <w:hyperlink r:id="rId9" w:history="1">
        <w:r w:rsidR="00047354" w:rsidRPr="00502ECB">
          <w:rPr>
            <w:rStyle w:val="Hyperlink"/>
            <w:color w:val="auto"/>
            <w:lang w:val="en-US"/>
          </w:rPr>
          <w:t>Vocational Education and Training Development Strategy</w:t>
        </w:r>
      </w:hyperlink>
      <w:r w:rsidR="00047354" w:rsidRPr="00502ECB">
        <w:rPr>
          <w:lang w:val="en-US"/>
        </w:rPr>
        <w:t>.</w:t>
      </w:r>
    </w:p>
    <w:p w14:paraId="4C941AD7" w14:textId="15A00082" w:rsidR="00047354" w:rsidRPr="00502ECB" w:rsidRDefault="00047354" w:rsidP="00047354">
      <w:pPr>
        <w:pStyle w:val="SingleTxtG"/>
      </w:pPr>
      <w:r w:rsidRPr="00502ECB">
        <w:t>50.</w:t>
      </w:r>
      <w:r w:rsidRPr="00502ECB">
        <w:tab/>
      </w:r>
      <w:r w:rsidRPr="00502ECB">
        <w:rPr>
          <w:b/>
        </w:rPr>
        <w:t xml:space="preserve">Recalling its general comment No. 4 (2016) on the right to inclusive education, and target 4.5 and target 4.a of the Sustainable Development Goals, the Committee </w:t>
      </w:r>
      <w:r w:rsidR="00CA33D5" w:rsidRPr="00502ECB">
        <w:rPr>
          <w:b/>
        </w:rPr>
        <w:t>recommends that</w:t>
      </w:r>
      <w:r w:rsidRPr="00502ECB">
        <w:rPr>
          <w:b/>
        </w:rPr>
        <w:t xml:space="preserve"> the State party:</w:t>
      </w:r>
      <w:r w:rsidRPr="00502ECB">
        <w:t xml:space="preserve"> </w:t>
      </w:r>
    </w:p>
    <w:p w14:paraId="5EE05959" w14:textId="2003B002" w:rsidR="00C112CD" w:rsidRPr="00D73A1E" w:rsidRDefault="00047354" w:rsidP="00D73A1E">
      <w:pPr>
        <w:pStyle w:val="SingleTxtG"/>
        <w:ind w:firstLine="567"/>
        <w:rPr>
          <w:b/>
        </w:rPr>
      </w:pPr>
      <w:r w:rsidRPr="00D73A1E">
        <w:rPr>
          <w:b/>
        </w:rPr>
        <w:tab/>
      </w:r>
      <w:r w:rsidRPr="00D73A1E">
        <w:rPr>
          <w:b/>
          <w:bCs/>
        </w:rPr>
        <w:t>(a)</w:t>
      </w:r>
      <w:r w:rsidRPr="00D73A1E">
        <w:rPr>
          <w:b/>
        </w:rPr>
        <w:tab/>
      </w:r>
      <w:r w:rsidR="00624A80" w:rsidRPr="00D73A1E">
        <w:rPr>
          <w:b/>
        </w:rPr>
        <w:t>Ensure that</w:t>
      </w:r>
      <w:r w:rsidR="006F7302" w:rsidRPr="00D73A1E">
        <w:rPr>
          <w:b/>
        </w:rPr>
        <w:t xml:space="preserve"> the implementation of the Unified National Strategy for Education and Science of Georgia (2022-2030)</w:t>
      </w:r>
      <w:r w:rsidR="00624A80" w:rsidRPr="00D73A1E">
        <w:rPr>
          <w:b/>
        </w:rPr>
        <w:t xml:space="preserve"> leads to inclusive, quality education for persons with disabilities, that </w:t>
      </w:r>
      <w:r w:rsidR="006F7302" w:rsidRPr="00D73A1E">
        <w:rPr>
          <w:b/>
        </w:rPr>
        <w:t xml:space="preserve">organisations of persons with disabilities </w:t>
      </w:r>
      <w:r w:rsidR="00624A80" w:rsidRPr="00D73A1E">
        <w:rPr>
          <w:b/>
        </w:rPr>
        <w:t xml:space="preserve">are involved in </w:t>
      </w:r>
      <w:r w:rsidR="00AB5BE3">
        <w:rPr>
          <w:b/>
        </w:rPr>
        <w:t xml:space="preserve">periodic </w:t>
      </w:r>
      <w:r w:rsidR="006F7302" w:rsidRPr="00D73A1E">
        <w:rPr>
          <w:b/>
        </w:rPr>
        <w:t xml:space="preserve">monitoring </w:t>
      </w:r>
      <w:r w:rsidR="00AB5BE3">
        <w:rPr>
          <w:b/>
        </w:rPr>
        <w:t xml:space="preserve">of </w:t>
      </w:r>
      <w:r w:rsidR="006F7302" w:rsidRPr="00D73A1E">
        <w:rPr>
          <w:b/>
        </w:rPr>
        <w:t>its</w:t>
      </w:r>
      <w:r w:rsidR="00624A80" w:rsidRPr="00D73A1E">
        <w:rPr>
          <w:b/>
        </w:rPr>
        <w:t xml:space="preserve"> progress and that </w:t>
      </w:r>
      <w:r w:rsidR="006F7302" w:rsidRPr="00D73A1E">
        <w:rPr>
          <w:b/>
        </w:rPr>
        <w:t>experiences of students with disabilities</w:t>
      </w:r>
      <w:r w:rsidR="00AE748F" w:rsidRPr="00D73A1E">
        <w:rPr>
          <w:b/>
        </w:rPr>
        <w:t xml:space="preserve"> of all ages</w:t>
      </w:r>
      <w:r w:rsidR="006F7302" w:rsidRPr="00D73A1E">
        <w:rPr>
          <w:b/>
        </w:rPr>
        <w:t xml:space="preserve"> inform the State party’s action </w:t>
      </w:r>
      <w:proofErr w:type="gramStart"/>
      <w:r w:rsidR="006F7302" w:rsidRPr="00D73A1E">
        <w:rPr>
          <w:b/>
        </w:rPr>
        <w:t>plans;</w:t>
      </w:r>
      <w:proofErr w:type="gramEnd"/>
      <w:r w:rsidR="006F7302" w:rsidRPr="00D73A1E">
        <w:rPr>
          <w:b/>
        </w:rPr>
        <w:t xml:space="preserve"> </w:t>
      </w:r>
    </w:p>
    <w:p w14:paraId="1ECD7F29" w14:textId="5FD09C9F" w:rsidR="00047354" w:rsidRPr="00D73A1E" w:rsidRDefault="006F7302" w:rsidP="00D73A1E">
      <w:pPr>
        <w:pStyle w:val="SingleTxtG"/>
        <w:ind w:firstLine="567"/>
        <w:rPr>
          <w:b/>
        </w:rPr>
      </w:pPr>
      <w:r w:rsidRPr="00D73A1E">
        <w:rPr>
          <w:b/>
          <w:bCs/>
        </w:rPr>
        <w:t>(b)</w:t>
      </w:r>
      <w:r w:rsidRPr="00D73A1E">
        <w:rPr>
          <w:b/>
          <w:bCs/>
        </w:rPr>
        <w:tab/>
      </w:r>
      <w:r w:rsidR="00F37B58" w:rsidRPr="00D73A1E">
        <w:rPr>
          <w:b/>
        </w:rPr>
        <w:t>Implement</w:t>
      </w:r>
      <w:r w:rsidR="00CA33D5" w:rsidRPr="00D73A1E">
        <w:rPr>
          <w:b/>
        </w:rPr>
        <w:t xml:space="preserve"> inclusive quality education for all children with disabilities, </w:t>
      </w:r>
      <w:r w:rsidR="003E0133" w:rsidRPr="00D73A1E">
        <w:rPr>
          <w:b/>
        </w:rPr>
        <w:t xml:space="preserve">including by developing </w:t>
      </w:r>
      <w:r w:rsidR="00CA33D5" w:rsidRPr="00D73A1E">
        <w:rPr>
          <w:b/>
        </w:rPr>
        <w:t>accessib</w:t>
      </w:r>
      <w:r w:rsidR="003E0133" w:rsidRPr="00D73A1E">
        <w:rPr>
          <w:b/>
        </w:rPr>
        <w:t xml:space="preserve">le </w:t>
      </w:r>
      <w:r w:rsidR="00CA33D5" w:rsidRPr="00D73A1E">
        <w:rPr>
          <w:b/>
        </w:rPr>
        <w:t>enrolment procedures</w:t>
      </w:r>
      <w:r w:rsidR="003E0133" w:rsidRPr="00D73A1E">
        <w:rPr>
          <w:b/>
        </w:rPr>
        <w:t>, participatory assessments of students</w:t>
      </w:r>
      <w:r w:rsidR="00F37B58" w:rsidRPr="00D73A1E">
        <w:rPr>
          <w:b/>
        </w:rPr>
        <w:t xml:space="preserve"> with disabilities</w:t>
      </w:r>
      <w:r w:rsidR="003E0133" w:rsidRPr="00D73A1E">
        <w:rPr>
          <w:b/>
        </w:rPr>
        <w:t>’ requirements aimed at the</w:t>
      </w:r>
      <w:r w:rsidR="00CA33D5" w:rsidRPr="00D73A1E">
        <w:rPr>
          <w:b/>
        </w:rPr>
        <w:t xml:space="preserve"> provision of </w:t>
      </w:r>
      <w:r w:rsidR="002050F9" w:rsidRPr="00D73A1E">
        <w:rPr>
          <w:b/>
        </w:rPr>
        <w:t>individualized support</w:t>
      </w:r>
      <w:r w:rsidR="003E0133" w:rsidRPr="00D73A1E">
        <w:rPr>
          <w:b/>
        </w:rPr>
        <w:t>s</w:t>
      </w:r>
      <w:r w:rsidR="002050F9" w:rsidRPr="00D73A1E">
        <w:rPr>
          <w:b/>
        </w:rPr>
        <w:t xml:space="preserve">, including through </w:t>
      </w:r>
      <w:r w:rsidR="00CA33D5" w:rsidRPr="00D73A1E">
        <w:rPr>
          <w:b/>
        </w:rPr>
        <w:t>reasonable accommodation</w:t>
      </w:r>
      <w:r w:rsidR="00F37B58" w:rsidRPr="00D73A1E">
        <w:rPr>
          <w:b/>
        </w:rPr>
        <w:t>, and</w:t>
      </w:r>
      <w:r w:rsidR="002603CB" w:rsidRPr="00D73A1E">
        <w:rPr>
          <w:b/>
        </w:rPr>
        <w:t xml:space="preserve"> periodic</w:t>
      </w:r>
      <w:r w:rsidR="00F37B58" w:rsidRPr="00D73A1E">
        <w:rPr>
          <w:b/>
        </w:rPr>
        <w:t>ally</w:t>
      </w:r>
      <w:r w:rsidR="002603CB" w:rsidRPr="00D73A1E">
        <w:rPr>
          <w:b/>
        </w:rPr>
        <w:t xml:space="preserve"> evaluat</w:t>
      </w:r>
      <w:r w:rsidR="00F37B58" w:rsidRPr="00D73A1E">
        <w:rPr>
          <w:b/>
        </w:rPr>
        <w:t>e</w:t>
      </w:r>
      <w:r w:rsidR="002603CB" w:rsidRPr="00D73A1E">
        <w:rPr>
          <w:b/>
        </w:rPr>
        <w:t xml:space="preserve"> </w:t>
      </w:r>
      <w:r w:rsidR="00F37B58" w:rsidRPr="00D73A1E">
        <w:rPr>
          <w:b/>
        </w:rPr>
        <w:t>inclusion measures in</w:t>
      </w:r>
      <w:r w:rsidR="002603CB" w:rsidRPr="00D73A1E">
        <w:rPr>
          <w:b/>
        </w:rPr>
        <w:t xml:space="preserve"> early and pre-school </w:t>
      </w:r>
      <w:proofErr w:type="gramStart"/>
      <w:r w:rsidR="002603CB" w:rsidRPr="00D73A1E">
        <w:rPr>
          <w:b/>
        </w:rPr>
        <w:t>education;</w:t>
      </w:r>
      <w:proofErr w:type="gramEnd"/>
    </w:p>
    <w:p w14:paraId="619B318F" w14:textId="6069C6A8" w:rsidR="002050F9" w:rsidRPr="00D73A1E" w:rsidRDefault="002050F9" w:rsidP="00D73A1E">
      <w:pPr>
        <w:pStyle w:val="SingleTxtG"/>
        <w:ind w:firstLine="567"/>
        <w:rPr>
          <w:b/>
          <w:bCs/>
        </w:rPr>
      </w:pPr>
      <w:r w:rsidRPr="00D73A1E">
        <w:rPr>
          <w:b/>
          <w:bCs/>
        </w:rPr>
        <w:t>(</w:t>
      </w:r>
      <w:r w:rsidR="0095383E" w:rsidRPr="00D73A1E">
        <w:rPr>
          <w:b/>
          <w:bCs/>
        </w:rPr>
        <w:t>c</w:t>
      </w:r>
      <w:r w:rsidRPr="00D73A1E">
        <w:rPr>
          <w:b/>
          <w:bCs/>
        </w:rPr>
        <w:t>)</w:t>
      </w:r>
      <w:r w:rsidRPr="00D73A1E">
        <w:rPr>
          <w:b/>
          <w:bCs/>
        </w:rPr>
        <w:tab/>
      </w:r>
      <w:r w:rsidR="002603CB" w:rsidRPr="00D73A1E">
        <w:rPr>
          <w:b/>
        </w:rPr>
        <w:t xml:space="preserve">Adopt a strategy and </w:t>
      </w:r>
      <w:r w:rsidR="00646A29" w:rsidRPr="00D73A1E">
        <w:rPr>
          <w:b/>
        </w:rPr>
        <w:t xml:space="preserve">allot </w:t>
      </w:r>
      <w:r w:rsidR="002603CB" w:rsidRPr="00D73A1E">
        <w:rPr>
          <w:b/>
        </w:rPr>
        <w:t>appropriate human, technical and financial resources to ensure the availability of education in Georgian sign language,</w:t>
      </w:r>
      <w:r w:rsidR="002D6CF1" w:rsidRPr="00D73A1E">
        <w:rPr>
          <w:b/>
        </w:rPr>
        <w:t xml:space="preserve"> Easy Read, </w:t>
      </w:r>
      <w:r w:rsidR="002603CB" w:rsidRPr="00D73A1E">
        <w:rPr>
          <w:b/>
        </w:rPr>
        <w:t xml:space="preserve">tactile sign language, tracking, tactile fingerspelling and speech </w:t>
      </w:r>
      <w:proofErr w:type="gramStart"/>
      <w:r w:rsidR="002603CB" w:rsidRPr="00D73A1E">
        <w:rPr>
          <w:b/>
        </w:rPr>
        <w:t>reading;</w:t>
      </w:r>
      <w:proofErr w:type="gramEnd"/>
    </w:p>
    <w:p w14:paraId="56104E14" w14:textId="0E16B8DE" w:rsidR="002603CB" w:rsidRPr="00D73A1E" w:rsidRDefault="002603CB" w:rsidP="00D73A1E">
      <w:pPr>
        <w:pStyle w:val="SingleTxtG"/>
        <w:ind w:firstLine="567"/>
        <w:rPr>
          <w:b/>
        </w:rPr>
      </w:pPr>
      <w:r w:rsidRPr="00D73A1E">
        <w:rPr>
          <w:b/>
          <w:bCs/>
        </w:rPr>
        <w:lastRenderedPageBreak/>
        <w:t>(</w:t>
      </w:r>
      <w:r w:rsidR="0095383E" w:rsidRPr="00D73A1E">
        <w:rPr>
          <w:b/>
          <w:bCs/>
        </w:rPr>
        <w:t>d</w:t>
      </w:r>
      <w:r w:rsidRPr="00D73A1E">
        <w:rPr>
          <w:b/>
          <w:bCs/>
        </w:rPr>
        <w:t>)</w:t>
      </w:r>
      <w:r w:rsidRPr="00D73A1E">
        <w:rPr>
          <w:b/>
          <w:bCs/>
        </w:rPr>
        <w:tab/>
      </w:r>
      <w:r w:rsidRPr="00D73A1E">
        <w:rPr>
          <w:b/>
        </w:rPr>
        <w:t xml:space="preserve">Review national policies and administrative procedures concerning the </w:t>
      </w:r>
      <w:r w:rsidR="00671DE2" w:rsidRPr="00D73A1E">
        <w:rPr>
          <w:b/>
        </w:rPr>
        <w:t>admission</w:t>
      </w:r>
      <w:r w:rsidRPr="00D73A1E">
        <w:rPr>
          <w:b/>
        </w:rPr>
        <w:t xml:space="preserve"> and retention</w:t>
      </w:r>
      <w:r w:rsidR="00671DE2" w:rsidRPr="00D73A1E">
        <w:rPr>
          <w:b/>
        </w:rPr>
        <w:t xml:space="preserve"> of students with disabilities</w:t>
      </w:r>
      <w:r w:rsidRPr="00D73A1E">
        <w:rPr>
          <w:b/>
        </w:rPr>
        <w:t xml:space="preserve"> in inclusive education with the aim </w:t>
      </w:r>
      <w:r w:rsidR="00F37B58" w:rsidRPr="00D73A1E">
        <w:rPr>
          <w:b/>
        </w:rPr>
        <w:t xml:space="preserve">of </w:t>
      </w:r>
      <w:r w:rsidRPr="00D73A1E">
        <w:rPr>
          <w:b/>
        </w:rPr>
        <w:t>identify</w:t>
      </w:r>
      <w:r w:rsidR="00F37B58" w:rsidRPr="00D73A1E">
        <w:rPr>
          <w:b/>
        </w:rPr>
        <w:t>ing</w:t>
      </w:r>
      <w:r w:rsidRPr="00D73A1E">
        <w:rPr>
          <w:b/>
        </w:rPr>
        <w:t xml:space="preserve"> </w:t>
      </w:r>
      <w:r w:rsidR="003370ED" w:rsidRPr="00D73A1E">
        <w:rPr>
          <w:b/>
        </w:rPr>
        <w:t>and eliminat</w:t>
      </w:r>
      <w:r w:rsidR="00F37B58" w:rsidRPr="00D73A1E">
        <w:rPr>
          <w:b/>
        </w:rPr>
        <w:t>ing</w:t>
      </w:r>
      <w:r w:rsidR="00671DE2" w:rsidRPr="00D73A1E">
        <w:rPr>
          <w:b/>
        </w:rPr>
        <w:t xml:space="preserve"> </w:t>
      </w:r>
      <w:r w:rsidRPr="00D73A1E">
        <w:rPr>
          <w:b/>
        </w:rPr>
        <w:t>barriers</w:t>
      </w:r>
      <w:r w:rsidR="00AB5BE3">
        <w:rPr>
          <w:b/>
        </w:rPr>
        <w:t xml:space="preserve"> and factors of drop-out</w:t>
      </w:r>
      <w:r w:rsidR="003370ED" w:rsidRPr="00D73A1E">
        <w:rPr>
          <w:b/>
        </w:rPr>
        <w:t>.</w:t>
      </w:r>
      <w:r w:rsidR="00A93779" w:rsidRPr="00D73A1E">
        <w:rPr>
          <w:b/>
        </w:rPr>
        <w:t xml:space="preserve"> The Committee also recommends</w:t>
      </w:r>
      <w:r w:rsidR="003370ED" w:rsidRPr="00D73A1E">
        <w:rPr>
          <w:b/>
        </w:rPr>
        <w:t xml:space="preserve"> </w:t>
      </w:r>
      <w:r w:rsidR="00AB5BE3">
        <w:rPr>
          <w:b/>
        </w:rPr>
        <w:t xml:space="preserve">that </w:t>
      </w:r>
      <w:r w:rsidR="00A93779" w:rsidRPr="00D73A1E">
        <w:rPr>
          <w:b/>
        </w:rPr>
        <w:t>t</w:t>
      </w:r>
      <w:r w:rsidR="003370ED" w:rsidRPr="00D73A1E">
        <w:rPr>
          <w:b/>
        </w:rPr>
        <w:t xml:space="preserve">he State party promote outreach strategies </w:t>
      </w:r>
      <w:r w:rsidR="004F6D7D" w:rsidRPr="00D73A1E">
        <w:rPr>
          <w:b/>
        </w:rPr>
        <w:t xml:space="preserve">to facilitate children with disabilities </w:t>
      </w:r>
      <w:r w:rsidR="00A93779" w:rsidRPr="00D73A1E">
        <w:rPr>
          <w:b/>
        </w:rPr>
        <w:t>to complete their</w:t>
      </w:r>
      <w:r w:rsidR="004F6D7D" w:rsidRPr="00D73A1E">
        <w:rPr>
          <w:b/>
        </w:rPr>
        <w:t xml:space="preserve"> studies, including through distance </w:t>
      </w:r>
      <w:proofErr w:type="gramStart"/>
      <w:r w:rsidR="004F6D7D" w:rsidRPr="00D73A1E">
        <w:rPr>
          <w:b/>
        </w:rPr>
        <w:t>learning</w:t>
      </w:r>
      <w:r w:rsidRPr="00D73A1E">
        <w:rPr>
          <w:b/>
        </w:rPr>
        <w:t>;</w:t>
      </w:r>
      <w:proofErr w:type="gramEnd"/>
    </w:p>
    <w:p w14:paraId="46BF7092" w14:textId="15FC8353" w:rsidR="00671DE2" w:rsidRPr="00D73A1E" w:rsidRDefault="003370ED" w:rsidP="00D73A1E">
      <w:pPr>
        <w:pStyle w:val="SingleTxtG"/>
        <w:ind w:firstLine="567"/>
        <w:rPr>
          <w:b/>
          <w:bCs/>
        </w:rPr>
      </w:pPr>
      <w:r w:rsidRPr="00D73A1E">
        <w:rPr>
          <w:b/>
          <w:bCs/>
        </w:rPr>
        <w:t>(</w:t>
      </w:r>
      <w:r w:rsidR="0095383E" w:rsidRPr="00D73A1E">
        <w:rPr>
          <w:b/>
          <w:bCs/>
        </w:rPr>
        <w:t>e</w:t>
      </w:r>
      <w:r w:rsidRPr="00D73A1E">
        <w:rPr>
          <w:b/>
          <w:bCs/>
        </w:rPr>
        <w:t>)</w:t>
      </w:r>
      <w:r w:rsidR="004F6D7D" w:rsidRPr="00D73A1E">
        <w:rPr>
          <w:b/>
          <w:bCs/>
        </w:rPr>
        <w:tab/>
      </w:r>
      <w:r w:rsidR="00671DE2" w:rsidRPr="00D73A1E">
        <w:rPr>
          <w:b/>
        </w:rPr>
        <w:t xml:space="preserve">Take measures, </w:t>
      </w:r>
      <w:r w:rsidR="00865EE4" w:rsidRPr="00D73A1E">
        <w:rPr>
          <w:b/>
        </w:rPr>
        <w:t xml:space="preserve">including awareness-raising </w:t>
      </w:r>
      <w:r w:rsidR="00671DE2" w:rsidRPr="00D73A1E">
        <w:rPr>
          <w:b/>
        </w:rPr>
        <w:t xml:space="preserve">and </w:t>
      </w:r>
      <w:r w:rsidR="00AE748F" w:rsidRPr="00D73A1E">
        <w:rPr>
          <w:b/>
        </w:rPr>
        <w:t>specific measures</w:t>
      </w:r>
      <w:r w:rsidR="00671DE2" w:rsidRPr="00D73A1E">
        <w:rPr>
          <w:b/>
        </w:rPr>
        <w:t xml:space="preserve"> </w:t>
      </w:r>
      <w:r w:rsidR="00865EE4" w:rsidRPr="00D73A1E">
        <w:rPr>
          <w:b/>
        </w:rPr>
        <w:t xml:space="preserve">to address </w:t>
      </w:r>
      <w:r w:rsidR="00671DE2" w:rsidRPr="00D73A1E">
        <w:rPr>
          <w:b/>
        </w:rPr>
        <w:t>intersecting discrimination</w:t>
      </w:r>
      <w:r w:rsidR="00865EE4" w:rsidRPr="00D73A1E">
        <w:rPr>
          <w:b/>
        </w:rPr>
        <w:t xml:space="preserve"> against girls with disabilities in education and</w:t>
      </w:r>
      <w:r w:rsidR="00671DE2" w:rsidRPr="00D73A1E">
        <w:rPr>
          <w:b/>
        </w:rPr>
        <w:t xml:space="preserve"> students with disabilities belonging to ethnic and religious </w:t>
      </w:r>
      <w:proofErr w:type="gramStart"/>
      <w:r w:rsidR="00671DE2" w:rsidRPr="00D73A1E">
        <w:rPr>
          <w:b/>
        </w:rPr>
        <w:t>minorities;</w:t>
      </w:r>
      <w:proofErr w:type="gramEnd"/>
    </w:p>
    <w:p w14:paraId="3CDB3BE8" w14:textId="08F811A5" w:rsidR="00671DE2" w:rsidRPr="00D73A1E" w:rsidRDefault="00671DE2" w:rsidP="00D73A1E">
      <w:pPr>
        <w:pStyle w:val="SingleTxtG"/>
        <w:ind w:firstLine="567"/>
        <w:rPr>
          <w:b/>
          <w:bCs/>
        </w:rPr>
      </w:pPr>
      <w:r w:rsidRPr="00D73A1E">
        <w:rPr>
          <w:b/>
          <w:bCs/>
        </w:rPr>
        <w:t>(</w:t>
      </w:r>
      <w:r w:rsidR="0095383E" w:rsidRPr="00D73A1E">
        <w:rPr>
          <w:b/>
          <w:bCs/>
        </w:rPr>
        <w:t>f</w:t>
      </w:r>
      <w:r w:rsidR="00D73A1E" w:rsidRPr="00D73A1E">
        <w:rPr>
          <w:b/>
          <w:bCs/>
        </w:rPr>
        <w:t>)</w:t>
      </w:r>
      <w:r w:rsidR="00D73A1E" w:rsidRPr="00D73A1E">
        <w:rPr>
          <w:b/>
          <w:bCs/>
        </w:rPr>
        <w:tab/>
      </w:r>
      <w:r w:rsidR="007B2764" w:rsidRPr="00D73A1E">
        <w:rPr>
          <w:b/>
        </w:rPr>
        <w:t xml:space="preserve">Collect data on enrolment and completion, disaggregated by disability status, ensure that education policies set-up measures to increase the number of qualified teachers with skills and teaching methodologies in inclusive education, and </w:t>
      </w:r>
      <w:proofErr w:type="gramStart"/>
      <w:r w:rsidR="007B2764" w:rsidRPr="00D73A1E">
        <w:rPr>
          <w:b/>
        </w:rPr>
        <w:t>time-frames</w:t>
      </w:r>
      <w:proofErr w:type="gramEnd"/>
      <w:r w:rsidR="007B2764" w:rsidRPr="00D73A1E">
        <w:rPr>
          <w:b/>
        </w:rPr>
        <w:t xml:space="preserve"> for ensuring accessibility of infrastructure and teaching materials in public and private regular schools;</w:t>
      </w:r>
      <w:r w:rsidR="007B2764" w:rsidRPr="00D73A1E">
        <w:rPr>
          <w:b/>
          <w:bCs/>
        </w:rPr>
        <w:t xml:space="preserve"> </w:t>
      </w:r>
    </w:p>
    <w:p w14:paraId="1CA085F2" w14:textId="6EF6FC16" w:rsidR="00047354" w:rsidRPr="00502ECB" w:rsidRDefault="00671DE2" w:rsidP="00D73A1E">
      <w:pPr>
        <w:pStyle w:val="SingleTxtG"/>
        <w:ind w:firstLine="567"/>
        <w:rPr>
          <w:bCs/>
        </w:rPr>
      </w:pPr>
      <w:r w:rsidRPr="00D73A1E">
        <w:rPr>
          <w:b/>
          <w:bCs/>
        </w:rPr>
        <w:t>(</w:t>
      </w:r>
      <w:r w:rsidR="0095383E" w:rsidRPr="00D73A1E">
        <w:rPr>
          <w:b/>
          <w:bCs/>
        </w:rPr>
        <w:t>g</w:t>
      </w:r>
      <w:r w:rsidRPr="00D73A1E">
        <w:rPr>
          <w:b/>
          <w:bCs/>
        </w:rPr>
        <w:t>)</w:t>
      </w:r>
      <w:r w:rsidRPr="00D73A1E">
        <w:rPr>
          <w:b/>
          <w:bCs/>
        </w:rPr>
        <w:tab/>
      </w:r>
      <w:r w:rsidRPr="00502ECB">
        <w:rPr>
          <w:b/>
        </w:rPr>
        <w:t>Promote access of students with disabilities to vocational programmes and provide students with disabilities with sufficient financial means to apply for and complete vocational education</w:t>
      </w:r>
      <w:r w:rsidRPr="00502ECB">
        <w:rPr>
          <w:bCs/>
        </w:rPr>
        <w:t xml:space="preserve">.   </w:t>
      </w:r>
      <w:r w:rsidR="003370ED" w:rsidRPr="00502ECB">
        <w:rPr>
          <w:bCs/>
        </w:rPr>
        <w:tab/>
      </w:r>
    </w:p>
    <w:p w14:paraId="563A2404" w14:textId="2A21FDB5" w:rsidR="00BF7F18" w:rsidRPr="00502ECB" w:rsidRDefault="00BF7F18" w:rsidP="00BF7F18">
      <w:pPr>
        <w:pStyle w:val="H23G"/>
        <w:outlineLvl w:val="2"/>
      </w:pPr>
      <w:r w:rsidRPr="00502ECB">
        <w:tab/>
      </w:r>
      <w:r w:rsidRPr="00502ECB">
        <w:tab/>
        <w:t>Health (art. 25)</w:t>
      </w:r>
    </w:p>
    <w:p w14:paraId="0F849768" w14:textId="77F2C7E2" w:rsidR="00BF7F18" w:rsidRPr="00502ECB" w:rsidRDefault="0011030A" w:rsidP="00BF7F18">
      <w:pPr>
        <w:pStyle w:val="SingleTxtG"/>
      </w:pPr>
      <w:r w:rsidRPr="00502ECB">
        <w:t>5</w:t>
      </w:r>
      <w:r w:rsidR="00AD2EC1">
        <w:t>1</w:t>
      </w:r>
      <w:r w:rsidR="00BF7F18" w:rsidRPr="00502ECB">
        <w:t>.</w:t>
      </w:r>
      <w:r w:rsidR="00BF7F18" w:rsidRPr="00502ECB">
        <w:tab/>
        <w:t>The Committee</w:t>
      </w:r>
      <w:r w:rsidR="00CA33D5" w:rsidRPr="00502ECB">
        <w:t xml:space="preserve"> </w:t>
      </w:r>
      <w:r w:rsidR="00BF7F18" w:rsidRPr="00502ECB">
        <w:t xml:space="preserve">is concerned about: </w:t>
      </w:r>
      <w:r w:rsidR="00BF7F18" w:rsidRPr="00502ECB">
        <w:rPr>
          <w:color w:val="000000" w:themeColor="text1"/>
        </w:rPr>
        <w:t xml:space="preserve"> </w:t>
      </w:r>
    </w:p>
    <w:p w14:paraId="6CB11E1C" w14:textId="6503D097" w:rsidR="00BF7F18" w:rsidRPr="00502ECB" w:rsidRDefault="0011030A" w:rsidP="00061C75">
      <w:pPr>
        <w:pStyle w:val="SingleTxtG"/>
        <w:ind w:firstLine="567"/>
        <w:rPr>
          <w:color w:val="000000" w:themeColor="text1"/>
        </w:rPr>
      </w:pPr>
      <w:r w:rsidRPr="00502ECB">
        <w:rPr>
          <w:color w:val="000000" w:themeColor="text1"/>
        </w:rPr>
        <w:tab/>
      </w:r>
      <w:r w:rsidR="00BF7F18" w:rsidRPr="00502ECB">
        <w:rPr>
          <w:color w:val="000000" w:themeColor="text1"/>
        </w:rPr>
        <w:t>(a)</w:t>
      </w:r>
      <w:r w:rsidR="00BF7F18" w:rsidRPr="00502ECB">
        <w:rPr>
          <w:color w:val="000000" w:themeColor="text1"/>
        </w:rPr>
        <w:tab/>
        <w:t xml:space="preserve">Domestic legislation </w:t>
      </w:r>
      <w:r w:rsidR="00A93779" w:rsidRPr="00502ECB">
        <w:rPr>
          <w:color w:val="000000" w:themeColor="text1"/>
        </w:rPr>
        <w:t xml:space="preserve">infringing on </w:t>
      </w:r>
      <w:r w:rsidR="00BF7F18" w:rsidRPr="00502ECB">
        <w:rPr>
          <w:color w:val="000000" w:themeColor="text1"/>
        </w:rPr>
        <w:t>the right to sexual and reproductive rights of women and girls with disabilities, including the right to retain fertility</w:t>
      </w:r>
      <w:r w:rsidR="00A93779" w:rsidRPr="00502ECB">
        <w:rPr>
          <w:color w:val="000000" w:themeColor="text1"/>
        </w:rPr>
        <w:t>,</w:t>
      </w:r>
      <w:r w:rsidR="00BF7F18" w:rsidRPr="00502ECB">
        <w:rPr>
          <w:color w:val="000000" w:themeColor="text1"/>
        </w:rPr>
        <w:t xml:space="preserve"> on equal basis with </w:t>
      </w:r>
      <w:proofErr w:type="gramStart"/>
      <w:r w:rsidR="00BF7F18" w:rsidRPr="00502ECB">
        <w:rPr>
          <w:color w:val="000000" w:themeColor="text1"/>
        </w:rPr>
        <w:t>others;</w:t>
      </w:r>
      <w:proofErr w:type="gramEnd"/>
    </w:p>
    <w:p w14:paraId="61DD1440" w14:textId="699BB11F" w:rsidR="00BF7F18" w:rsidRPr="00502ECB" w:rsidRDefault="00BF7F18" w:rsidP="0011030A">
      <w:pPr>
        <w:pStyle w:val="SingleTxtG"/>
        <w:ind w:firstLine="567"/>
        <w:rPr>
          <w:color w:val="000000" w:themeColor="text1"/>
        </w:rPr>
      </w:pPr>
      <w:r w:rsidRPr="00502ECB">
        <w:rPr>
          <w:color w:val="000000" w:themeColor="text1"/>
        </w:rPr>
        <w:t>(b)</w:t>
      </w:r>
      <w:r w:rsidRPr="00502ECB">
        <w:rPr>
          <w:color w:val="000000" w:themeColor="text1"/>
        </w:rPr>
        <w:tab/>
      </w:r>
      <w:r w:rsidR="00A93779" w:rsidRPr="00502ECB">
        <w:rPr>
          <w:color w:val="000000" w:themeColor="text1"/>
        </w:rPr>
        <w:t>Information</w:t>
      </w:r>
      <w:r w:rsidRPr="00502ECB">
        <w:rPr>
          <w:color w:val="000000" w:themeColor="text1"/>
        </w:rPr>
        <w:t xml:space="preserve"> that women with disabilities are significantly less likely to receive quality health care due to </w:t>
      </w:r>
      <w:r w:rsidR="001A132A" w:rsidRPr="00C112CD">
        <w:rPr>
          <w:color w:val="000000" w:themeColor="text1"/>
        </w:rPr>
        <w:t>lack of training</w:t>
      </w:r>
      <w:r w:rsidR="00DB1267" w:rsidRPr="00AD2EC1">
        <w:rPr>
          <w:color w:val="000000" w:themeColor="text1"/>
        </w:rPr>
        <w:t xml:space="preserve"> </w:t>
      </w:r>
      <w:r w:rsidRPr="00AD2EC1">
        <w:rPr>
          <w:color w:val="000000" w:themeColor="text1"/>
        </w:rPr>
        <w:t>and a</w:t>
      </w:r>
      <w:r w:rsidRPr="00502ECB">
        <w:rPr>
          <w:color w:val="000000" w:themeColor="text1"/>
        </w:rPr>
        <w:t xml:space="preserve"> discriminatory approach of medical staff. They are disproportionately affected by barriers such as lack of information and accessibility, particularly concerning their sexual and reproductive </w:t>
      </w:r>
      <w:proofErr w:type="gramStart"/>
      <w:r w:rsidRPr="00502ECB">
        <w:rPr>
          <w:color w:val="000000" w:themeColor="text1"/>
        </w:rPr>
        <w:t>health;</w:t>
      </w:r>
      <w:proofErr w:type="gramEnd"/>
    </w:p>
    <w:p w14:paraId="795ED3A8" w14:textId="09B60F49" w:rsidR="00BF7F18" w:rsidRPr="00502ECB" w:rsidRDefault="0011030A" w:rsidP="00061C75">
      <w:pPr>
        <w:pStyle w:val="SingleTxtG"/>
        <w:ind w:firstLine="567"/>
        <w:rPr>
          <w:color w:val="000000" w:themeColor="text1"/>
        </w:rPr>
      </w:pPr>
      <w:r w:rsidRPr="00502ECB">
        <w:rPr>
          <w:color w:val="000000" w:themeColor="text1"/>
        </w:rPr>
        <w:tab/>
      </w:r>
      <w:r w:rsidR="00BF7F18" w:rsidRPr="00502ECB">
        <w:rPr>
          <w:color w:val="000000" w:themeColor="text1"/>
        </w:rPr>
        <w:t>(c)</w:t>
      </w:r>
      <w:r w:rsidR="00BF7F18" w:rsidRPr="00502ECB">
        <w:rPr>
          <w:color w:val="000000" w:themeColor="text1"/>
        </w:rPr>
        <w:tab/>
        <w:t xml:space="preserve">Discriminatory language in health care laws, </w:t>
      </w:r>
      <w:r w:rsidR="00A93779" w:rsidRPr="00502ECB">
        <w:rPr>
          <w:color w:val="000000" w:themeColor="text1"/>
        </w:rPr>
        <w:t>contributing to</w:t>
      </w:r>
      <w:r w:rsidR="00BF7F18" w:rsidRPr="00502ECB">
        <w:rPr>
          <w:color w:val="000000" w:themeColor="text1"/>
        </w:rPr>
        <w:t xml:space="preserve"> disability </w:t>
      </w:r>
      <w:proofErr w:type="gramStart"/>
      <w:r w:rsidR="00BF7F18" w:rsidRPr="00502ECB">
        <w:rPr>
          <w:color w:val="000000" w:themeColor="text1"/>
        </w:rPr>
        <w:t>stigma;</w:t>
      </w:r>
      <w:proofErr w:type="gramEnd"/>
    </w:p>
    <w:p w14:paraId="5C447A79" w14:textId="668182C2" w:rsidR="00BF7F18" w:rsidRPr="00502ECB" w:rsidRDefault="00BF7F18" w:rsidP="00D526A1">
      <w:pPr>
        <w:pStyle w:val="SingleTxtG"/>
        <w:ind w:firstLine="567"/>
        <w:rPr>
          <w:color w:val="000000" w:themeColor="text1"/>
        </w:rPr>
      </w:pPr>
      <w:r w:rsidRPr="00502ECB">
        <w:rPr>
          <w:color w:val="000000" w:themeColor="text1"/>
        </w:rPr>
        <w:t>(d)</w:t>
      </w:r>
      <w:r w:rsidR="0011030A" w:rsidRPr="00502ECB">
        <w:rPr>
          <w:color w:val="000000" w:themeColor="text1"/>
        </w:rPr>
        <w:tab/>
      </w:r>
      <w:r w:rsidRPr="00502ECB">
        <w:rPr>
          <w:color w:val="000000" w:themeColor="text1"/>
        </w:rPr>
        <w:t>The absence of priority testing for persons with disabilities during the</w:t>
      </w:r>
      <w:r w:rsidR="00D526A1" w:rsidRPr="00502ECB">
        <w:rPr>
          <w:color w:val="000000" w:themeColor="text1"/>
        </w:rPr>
        <w:t xml:space="preserve">   </w:t>
      </w:r>
      <w:r w:rsidRPr="00502ECB">
        <w:rPr>
          <w:color w:val="000000" w:themeColor="text1"/>
        </w:rPr>
        <w:t xml:space="preserve"> COVID-19 pandemic</w:t>
      </w:r>
      <w:r w:rsidR="00A93779" w:rsidRPr="00502ECB">
        <w:rPr>
          <w:color w:val="000000" w:themeColor="text1"/>
        </w:rPr>
        <w:t>,</w:t>
      </w:r>
      <w:r w:rsidRPr="00502ECB">
        <w:rPr>
          <w:color w:val="000000" w:themeColor="text1"/>
        </w:rPr>
        <w:t xml:space="preserve"> and </w:t>
      </w:r>
      <w:r w:rsidR="00A93779" w:rsidRPr="00502ECB">
        <w:rPr>
          <w:color w:val="000000" w:themeColor="text1"/>
        </w:rPr>
        <w:t xml:space="preserve">a </w:t>
      </w:r>
      <w:r w:rsidRPr="00502ECB">
        <w:rPr>
          <w:color w:val="000000" w:themeColor="text1"/>
        </w:rPr>
        <w:t xml:space="preserve">lack of information about ensuring access to health services in the recovery plans. </w:t>
      </w:r>
    </w:p>
    <w:p w14:paraId="4A1B4F85" w14:textId="3C04F6B9" w:rsidR="00BF7F18" w:rsidRPr="00502ECB" w:rsidRDefault="0011030A" w:rsidP="00BF7F18">
      <w:pPr>
        <w:pStyle w:val="SingleTxtG"/>
        <w:rPr>
          <w:color w:val="000000" w:themeColor="text1"/>
        </w:rPr>
      </w:pPr>
      <w:r w:rsidRPr="00502ECB">
        <w:rPr>
          <w:color w:val="000000" w:themeColor="text1"/>
        </w:rPr>
        <w:t>52</w:t>
      </w:r>
      <w:r w:rsidR="00BF7F18" w:rsidRPr="00502ECB">
        <w:rPr>
          <w:color w:val="000000" w:themeColor="text1"/>
        </w:rPr>
        <w:t>.</w:t>
      </w:r>
      <w:r w:rsidR="00BF7F18" w:rsidRPr="00502ECB">
        <w:rPr>
          <w:color w:val="000000" w:themeColor="text1"/>
        </w:rPr>
        <w:tab/>
      </w:r>
      <w:r w:rsidR="00BF7F18" w:rsidRPr="00502ECB">
        <w:rPr>
          <w:b/>
          <w:color w:val="000000" w:themeColor="text1"/>
        </w:rPr>
        <w:t xml:space="preserve">The Committee </w:t>
      </w:r>
      <w:r w:rsidR="00667E64" w:rsidRPr="00502ECB">
        <w:rPr>
          <w:b/>
          <w:color w:val="000000" w:themeColor="text1"/>
        </w:rPr>
        <w:t>recommends</w:t>
      </w:r>
      <w:r w:rsidR="00BF7F18" w:rsidRPr="00502ECB">
        <w:rPr>
          <w:b/>
          <w:color w:val="000000" w:themeColor="text1"/>
        </w:rPr>
        <w:t xml:space="preserve"> the State party to:</w:t>
      </w:r>
      <w:r w:rsidR="00BF7F18" w:rsidRPr="00502ECB">
        <w:rPr>
          <w:color w:val="000000" w:themeColor="text1"/>
        </w:rPr>
        <w:t xml:space="preserve"> </w:t>
      </w:r>
    </w:p>
    <w:p w14:paraId="6C861953" w14:textId="0B89076B" w:rsidR="00D526A1" w:rsidRPr="00061C75" w:rsidRDefault="0011030A" w:rsidP="00061C75">
      <w:pPr>
        <w:pStyle w:val="SingleTxtG"/>
        <w:ind w:firstLine="567"/>
        <w:rPr>
          <w:b/>
        </w:rPr>
      </w:pPr>
      <w:r w:rsidRPr="00061C75">
        <w:rPr>
          <w:b/>
          <w:color w:val="4F81BD" w:themeColor="accent1"/>
        </w:rPr>
        <w:tab/>
      </w:r>
      <w:r w:rsidR="00BF7F18" w:rsidRPr="00061C75">
        <w:rPr>
          <w:b/>
          <w:bCs/>
        </w:rPr>
        <w:t>(a)</w:t>
      </w:r>
      <w:r w:rsidR="00BF7F18" w:rsidRPr="00061C75">
        <w:rPr>
          <w:b/>
        </w:rPr>
        <w:tab/>
        <w:t>Give effect to all provisions in the Convention about the right to health, in domestic legislation and health care policies, ensuring the recognition of sexual and reproductive health and rights of women with disabilities, including their right to retain fertility</w:t>
      </w:r>
      <w:r w:rsidR="00667E64" w:rsidRPr="00061C75">
        <w:rPr>
          <w:b/>
        </w:rPr>
        <w:t>,</w:t>
      </w:r>
      <w:r w:rsidR="00BF7F18" w:rsidRPr="00061C75">
        <w:rPr>
          <w:b/>
        </w:rPr>
        <w:t xml:space="preserve"> on </w:t>
      </w:r>
      <w:r w:rsidR="00667E64" w:rsidRPr="00061C75">
        <w:rPr>
          <w:b/>
        </w:rPr>
        <w:t xml:space="preserve">an </w:t>
      </w:r>
      <w:r w:rsidR="00BF7F18" w:rsidRPr="00061C75">
        <w:rPr>
          <w:b/>
        </w:rPr>
        <w:t xml:space="preserve">equal basis with </w:t>
      </w:r>
      <w:proofErr w:type="gramStart"/>
      <w:r w:rsidR="00BF7F18" w:rsidRPr="00061C75">
        <w:rPr>
          <w:b/>
        </w:rPr>
        <w:t>others;</w:t>
      </w:r>
      <w:proofErr w:type="gramEnd"/>
    </w:p>
    <w:p w14:paraId="1D3BC189" w14:textId="304305D1" w:rsidR="00BF7F18" w:rsidRPr="00061C75" w:rsidRDefault="00BF7F18" w:rsidP="00D526A1">
      <w:pPr>
        <w:pStyle w:val="SingleTxtG"/>
        <w:ind w:firstLine="567"/>
        <w:rPr>
          <w:b/>
          <w:bCs/>
        </w:rPr>
      </w:pPr>
      <w:r w:rsidRPr="00061C75">
        <w:rPr>
          <w:b/>
          <w:bCs/>
        </w:rPr>
        <w:t xml:space="preserve">(b) </w:t>
      </w:r>
      <w:r w:rsidR="0011030A" w:rsidRPr="00061C75">
        <w:rPr>
          <w:b/>
          <w:bCs/>
        </w:rPr>
        <w:tab/>
      </w:r>
      <w:r w:rsidRPr="00061C75">
        <w:rPr>
          <w:b/>
          <w:bCs/>
        </w:rPr>
        <w:t>Strengthen mechanisms for regular training of medical personnel about human rights, dignity, autonomy and the requirements of persons with disabilities, particularly women with disabilities</w:t>
      </w:r>
      <w:r w:rsidR="00667E64" w:rsidRPr="00061C75">
        <w:rPr>
          <w:b/>
          <w:bCs/>
        </w:rPr>
        <w:t>; t</w:t>
      </w:r>
      <w:r w:rsidRPr="00061C75">
        <w:rPr>
          <w:b/>
          <w:bCs/>
        </w:rPr>
        <w:t>ake measures to guarantee the availability of health services for women with disabilities</w:t>
      </w:r>
      <w:r w:rsidR="00667E64" w:rsidRPr="00061C75">
        <w:rPr>
          <w:b/>
          <w:bCs/>
        </w:rPr>
        <w:t>,</w:t>
      </w:r>
      <w:r w:rsidRPr="00061C75">
        <w:rPr>
          <w:b/>
          <w:bCs/>
        </w:rPr>
        <w:t xml:space="preserve"> without discrimination, by identifying and removing barriers and providing accessible medical equipment, including adapted gynaecological </w:t>
      </w:r>
      <w:proofErr w:type="gramStart"/>
      <w:r w:rsidRPr="00061C75">
        <w:rPr>
          <w:b/>
          <w:bCs/>
        </w:rPr>
        <w:t>chairs;</w:t>
      </w:r>
      <w:proofErr w:type="gramEnd"/>
    </w:p>
    <w:p w14:paraId="4C0BE79A" w14:textId="23FC0CFE" w:rsidR="00D526A1" w:rsidRPr="00061C75" w:rsidRDefault="00BF7F18" w:rsidP="00061C75">
      <w:pPr>
        <w:pStyle w:val="SingleTxtG"/>
        <w:ind w:firstLine="567"/>
        <w:rPr>
          <w:b/>
          <w:bCs/>
        </w:rPr>
      </w:pPr>
      <w:r w:rsidRPr="00061C75">
        <w:rPr>
          <w:b/>
          <w:bCs/>
        </w:rPr>
        <w:tab/>
        <w:t>(c)</w:t>
      </w:r>
      <w:r w:rsidRPr="00061C75">
        <w:rPr>
          <w:b/>
          <w:bCs/>
        </w:rPr>
        <w:tab/>
      </w:r>
      <w:r w:rsidR="00667E64" w:rsidRPr="00061C75">
        <w:rPr>
          <w:b/>
          <w:bCs/>
        </w:rPr>
        <w:t xml:space="preserve">Rid </w:t>
      </w:r>
      <w:r w:rsidRPr="00061C75">
        <w:rPr>
          <w:b/>
          <w:bCs/>
        </w:rPr>
        <w:t xml:space="preserve">the legislative framework </w:t>
      </w:r>
      <w:r w:rsidR="00667E64" w:rsidRPr="00061C75">
        <w:rPr>
          <w:b/>
          <w:bCs/>
        </w:rPr>
        <w:t xml:space="preserve">on </w:t>
      </w:r>
      <w:r w:rsidRPr="00061C75">
        <w:rPr>
          <w:b/>
          <w:bCs/>
        </w:rPr>
        <w:t xml:space="preserve">health services </w:t>
      </w:r>
      <w:r w:rsidR="00667E64" w:rsidRPr="00061C75">
        <w:rPr>
          <w:b/>
          <w:bCs/>
        </w:rPr>
        <w:t>of</w:t>
      </w:r>
      <w:r w:rsidRPr="00061C75">
        <w:rPr>
          <w:b/>
          <w:bCs/>
        </w:rPr>
        <w:t xml:space="preserve"> discriminatory language, enforce regulations on legal protection against discrimination in health care services</w:t>
      </w:r>
      <w:r w:rsidR="00667E64" w:rsidRPr="00061C75">
        <w:rPr>
          <w:b/>
          <w:bCs/>
        </w:rPr>
        <w:t>,</w:t>
      </w:r>
      <w:r w:rsidRPr="00061C75">
        <w:rPr>
          <w:b/>
          <w:bCs/>
        </w:rPr>
        <w:t xml:space="preserve"> and define the meaning of informed consent in accordance with </w:t>
      </w:r>
      <w:r w:rsidR="00667E64" w:rsidRPr="00061C75">
        <w:rPr>
          <w:b/>
          <w:bCs/>
        </w:rPr>
        <w:t xml:space="preserve">the Convention </w:t>
      </w:r>
      <w:r w:rsidR="00156B88" w:rsidRPr="00061C75">
        <w:rPr>
          <w:b/>
          <w:bCs/>
        </w:rPr>
        <w:t xml:space="preserve">and the Committee’s </w:t>
      </w:r>
      <w:r w:rsidR="00667E64" w:rsidRPr="00061C75">
        <w:rPr>
          <w:b/>
          <w:bCs/>
        </w:rPr>
        <w:t xml:space="preserve">General </w:t>
      </w:r>
      <w:r w:rsidR="00156B88" w:rsidRPr="00061C75">
        <w:rPr>
          <w:b/>
          <w:bCs/>
        </w:rPr>
        <w:t>c</w:t>
      </w:r>
      <w:r w:rsidR="00667E64" w:rsidRPr="00061C75">
        <w:rPr>
          <w:b/>
          <w:bCs/>
        </w:rPr>
        <w:t xml:space="preserve">omment </w:t>
      </w:r>
      <w:r w:rsidR="00156B88" w:rsidRPr="00061C75">
        <w:rPr>
          <w:b/>
          <w:bCs/>
        </w:rPr>
        <w:t xml:space="preserve">No. 1 (2014) </w:t>
      </w:r>
      <w:r w:rsidR="00667E64" w:rsidRPr="00061C75">
        <w:rPr>
          <w:b/>
          <w:bCs/>
        </w:rPr>
        <w:t xml:space="preserve">on </w:t>
      </w:r>
      <w:r w:rsidR="00156B88" w:rsidRPr="00061C75">
        <w:rPr>
          <w:b/>
          <w:bCs/>
        </w:rPr>
        <w:t xml:space="preserve">Equal recognition before the </w:t>
      </w:r>
      <w:proofErr w:type="gramStart"/>
      <w:r w:rsidR="00156B88" w:rsidRPr="00061C75">
        <w:rPr>
          <w:b/>
          <w:bCs/>
        </w:rPr>
        <w:t>Law</w:t>
      </w:r>
      <w:r w:rsidRPr="00061C75">
        <w:rPr>
          <w:b/>
          <w:bCs/>
        </w:rPr>
        <w:t>;</w:t>
      </w:r>
      <w:proofErr w:type="gramEnd"/>
    </w:p>
    <w:p w14:paraId="74DF3FBB" w14:textId="7FC0E572" w:rsidR="00BF7F18" w:rsidRPr="00061C75" w:rsidRDefault="00BF7F18" w:rsidP="00D526A1">
      <w:pPr>
        <w:pStyle w:val="SingleTxtG"/>
        <w:ind w:firstLine="567"/>
        <w:rPr>
          <w:b/>
          <w:bCs/>
        </w:rPr>
      </w:pPr>
      <w:r w:rsidRPr="00061C75">
        <w:rPr>
          <w:b/>
          <w:bCs/>
        </w:rPr>
        <w:t>(d)</w:t>
      </w:r>
      <w:r w:rsidR="0011030A" w:rsidRPr="00061C75">
        <w:rPr>
          <w:b/>
          <w:bCs/>
        </w:rPr>
        <w:tab/>
      </w:r>
      <w:r w:rsidRPr="00061C75">
        <w:rPr>
          <w:b/>
          <w:bCs/>
        </w:rPr>
        <w:t xml:space="preserve">Ensure that recovery plans after the COVID-19 pandemic include measures to address barriers and prioritize health care, including testing, for persons with disabilities. </w:t>
      </w:r>
    </w:p>
    <w:p w14:paraId="23AB28AA" w14:textId="40B8BB19" w:rsidR="00EE35CB" w:rsidRPr="00502ECB" w:rsidRDefault="00EE35CB" w:rsidP="00EE35CB">
      <w:pPr>
        <w:pStyle w:val="H23G"/>
        <w:outlineLvl w:val="2"/>
      </w:pPr>
      <w:r w:rsidRPr="00502ECB">
        <w:tab/>
      </w:r>
      <w:r w:rsidRPr="00502ECB">
        <w:tab/>
        <w:t>Work and employment (art. 27)</w:t>
      </w:r>
    </w:p>
    <w:p w14:paraId="7843CF75" w14:textId="59F32594" w:rsidR="00EE35CB" w:rsidRPr="00502ECB" w:rsidRDefault="00EE35CB" w:rsidP="00EE35CB">
      <w:pPr>
        <w:pStyle w:val="SingleTxtG"/>
      </w:pPr>
      <w:r w:rsidRPr="00502ECB">
        <w:t>53.</w:t>
      </w:r>
      <w:r w:rsidRPr="00502ECB">
        <w:tab/>
        <w:t>The Committee</w:t>
      </w:r>
      <w:r w:rsidR="00AD103E" w:rsidRPr="00502ECB">
        <w:t xml:space="preserve"> notes with concern</w:t>
      </w:r>
      <w:r w:rsidRPr="00502ECB">
        <w:t xml:space="preserve">: </w:t>
      </w:r>
    </w:p>
    <w:p w14:paraId="398963B5" w14:textId="28FFF908" w:rsidR="00AD103E" w:rsidRPr="00502ECB" w:rsidRDefault="00A27824" w:rsidP="00A27824">
      <w:pPr>
        <w:pStyle w:val="SingleTxtG"/>
        <w:ind w:firstLine="567"/>
      </w:pPr>
      <w:r w:rsidRPr="00502ECB">
        <w:lastRenderedPageBreak/>
        <w:t>(a)</w:t>
      </w:r>
      <w:r w:rsidRPr="00502ECB">
        <w:tab/>
      </w:r>
      <w:r w:rsidR="00AD103E" w:rsidRPr="00502ECB">
        <w:t>The low participation of persons with disabilities</w:t>
      </w:r>
      <w:r w:rsidR="00392F46" w:rsidRPr="00502ECB">
        <w:t>, particularly women with disabilities</w:t>
      </w:r>
      <w:r w:rsidR="00667E64" w:rsidRPr="00502ECB">
        <w:t>,</w:t>
      </w:r>
      <w:r w:rsidR="00AD103E" w:rsidRPr="00502ECB">
        <w:t xml:space="preserve"> in employment</w:t>
      </w:r>
      <w:r w:rsidR="00667E64" w:rsidRPr="00502ECB">
        <w:t>, including in recruitment processes, partly</w:t>
      </w:r>
      <w:r w:rsidR="00AD103E" w:rsidRPr="00502ECB">
        <w:t xml:space="preserve"> due to attitudinal barriers and the lack of accessibility </w:t>
      </w:r>
      <w:r w:rsidR="002737F3" w:rsidRPr="00502ECB">
        <w:t xml:space="preserve">to information about job </w:t>
      </w:r>
      <w:proofErr w:type="gramStart"/>
      <w:r w:rsidR="002737F3" w:rsidRPr="00502ECB">
        <w:t>opportunities;</w:t>
      </w:r>
      <w:proofErr w:type="gramEnd"/>
      <w:r w:rsidR="002737F3" w:rsidRPr="00502ECB">
        <w:t xml:space="preserve"> </w:t>
      </w:r>
    </w:p>
    <w:p w14:paraId="531F6024" w14:textId="74ADD2A8" w:rsidR="00A27824" w:rsidRPr="00502ECB" w:rsidRDefault="00AD103E" w:rsidP="00AD103E">
      <w:pPr>
        <w:pStyle w:val="SingleTxtG"/>
        <w:ind w:firstLine="567"/>
      </w:pPr>
      <w:r w:rsidRPr="00502ECB">
        <w:t>(b)</w:t>
      </w:r>
      <w:r w:rsidRPr="00502ECB">
        <w:tab/>
      </w:r>
      <w:r w:rsidR="00823877" w:rsidRPr="00502ECB">
        <w:t>Legal p</w:t>
      </w:r>
      <w:r w:rsidR="00432D08" w:rsidRPr="00502ECB">
        <w:t>rovisions restrict</w:t>
      </w:r>
      <w:r w:rsidR="00823877" w:rsidRPr="00502ECB">
        <w:t>ing</w:t>
      </w:r>
      <w:r w:rsidR="00432D08" w:rsidRPr="00502ECB">
        <w:t xml:space="preserve"> employment of persons with disabilities requiring </w:t>
      </w:r>
      <w:r w:rsidR="002737F3" w:rsidRPr="00502ECB">
        <w:t>higher</w:t>
      </w:r>
      <w:r w:rsidR="00432D08" w:rsidRPr="00502ECB">
        <w:t xml:space="preserve"> levels of support</w:t>
      </w:r>
      <w:r w:rsidR="00823877" w:rsidRPr="00502ECB">
        <w:t xml:space="preserve">, and </w:t>
      </w:r>
      <w:r w:rsidR="00584699" w:rsidRPr="00502ECB">
        <w:t xml:space="preserve">of </w:t>
      </w:r>
      <w:r w:rsidR="00823877" w:rsidRPr="00502ECB">
        <w:t>persons with disabilities who are “recipients of support”,</w:t>
      </w:r>
      <w:r w:rsidR="00432D08" w:rsidRPr="00502ECB">
        <w:t xml:space="preserve"> and the limited </w:t>
      </w:r>
      <w:r w:rsidR="002737F3" w:rsidRPr="00502ECB">
        <w:t xml:space="preserve">impact of </w:t>
      </w:r>
      <w:r w:rsidR="00A27824" w:rsidRPr="00502ECB">
        <w:t xml:space="preserve">anti-discrimination </w:t>
      </w:r>
      <w:r w:rsidR="00C957DD" w:rsidRPr="00502ECB">
        <w:t>l</w:t>
      </w:r>
      <w:r w:rsidR="00823877" w:rsidRPr="00502ECB">
        <w:t xml:space="preserve">aws </w:t>
      </w:r>
      <w:r w:rsidR="00584699" w:rsidRPr="00502ECB">
        <w:t>on discriminatory practices</w:t>
      </w:r>
      <w:r w:rsidR="00A27824" w:rsidRPr="00502ECB">
        <w:t xml:space="preserve"> </w:t>
      </w:r>
      <w:r w:rsidR="00392F46" w:rsidRPr="00502ECB">
        <w:t xml:space="preserve">in </w:t>
      </w:r>
      <w:proofErr w:type="gramStart"/>
      <w:r w:rsidR="00392F46" w:rsidRPr="00502ECB">
        <w:t>employment</w:t>
      </w:r>
      <w:r w:rsidRPr="00502ECB">
        <w:t>;</w:t>
      </w:r>
      <w:proofErr w:type="gramEnd"/>
      <w:r w:rsidR="00A27824" w:rsidRPr="00502ECB">
        <w:t xml:space="preserve">  </w:t>
      </w:r>
    </w:p>
    <w:p w14:paraId="4D5594C7" w14:textId="345A5BAC" w:rsidR="00392F46" w:rsidRPr="00502ECB" w:rsidRDefault="00A27824" w:rsidP="005210D3">
      <w:pPr>
        <w:pStyle w:val="SingleTxtG"/>
        <w:ind w:firstLine="567"/>
      </w:pPr>
      <w:r w:rsidRPr="00502ECB">
        <w:t>(c)</w:t>
      </w:r>
      <w:r w:rsidRPr="00502ECB">
        <w:tab/>
      </w:r>
      <w:r w:rsidR="00392F46" w:rsidRPr="00502ECB">
        <w:t xml:space="preserve">The wage gap of 25% affecting persons with disabilities as stated in the Labour Force </w:t>
      </w:r>
      <w:proofErr w:type="gramStart"/>
      <w:r w:rsidR="00392F46" w:rsidRPr="00502ECB">
        <w:t>Survey</w:t>
      </w:r>
      <w:r w:rsidR="005210D3" w:rsidRPr="00502ECB">
        <w:t>;</w:t>
      </w:r>
      <w:proofErr w:type="gramEnd"/>
    </w:p>
    <w:p w14:paraId="3240AE30" w14:textId="3DA532E5" w:rsidR="00C957DD" w:rsidRPr="00502ECB" w:rsidRDefault="00392F46" w:rsidP="004837D2">
      <w:pPr>
        <w:pStyle w:val="SingleTxtG"/>
        <w:ind w:firstLine="567"/>
      </w:pPr>
      <w:r w:rsidRPr="00502ECB">
        <w:t>(d)</w:t>
      </w:r>
      <w:r w:rsidRPr="00502ECB">
        <w:tab/>
      </w:r>
      <w:r w:rsidR="00C957DD" w:rsidRPr="00502ECB">
        <w:t xml:space="preserve">Capability assessments for job seekers with disabilities mainly being </w:t>
      </w:r>
      <w:r w:rsidR="00584699" w:rsidRPr="00502ECB">
        <w:t xml:space="preserve">performed </w:t>
      </w:r>
      <w:r w:rsidR="00C957DD" w:rsidRPr="00502ECB">
        <w:t xml:space="preserve">by </w:t>
      </w:r>
      <w:proofErr w:type="gramStart"/>
      <w:r w:rsidR="00C957DD" w:rsidRPr="00502ECB">
        <w:t>specialists;</w:t>
      </w:r>
      <w:proofErr w:type="gramEnd"/>
    </w:p>
    <w:p w14:paraId="0659C46F" w14:textId="13FCF7AD" w:rsidR="00A27824" w:rsidRPr="00502ECB" w:rsidRDefault="00A27824" w:rsidP="002737F3">
      <w:pPr>
        <w:pStyle w:val="SingleTxtG"/>
        <w:ind w:firstLine="567"/>
      </w:pPr>
      <w:r w:rsidRPr="00502ECB">
        <w:t>(</w:t>
      </w:r>
      <w:r w:rsidR="00392F46" w:rsidRPr="00502ECB">
        <w:t>e</w:t>
      </w:r>
      <w:r w:rsidRPr="00502ECB">
        <w:t>)</w:t>
      </w:r>
      <w:r w:rsidRPr="00502ECB">
        <w:tab/>
        <w:t xml:space="preserve">The </w:t>
      </w:r>
      <w:r w:rsidR="002737F3" w:rsidRPr="00502ECB">
        <w:t xml:space="preserve">limited understanding and implementation of support, including through reasonable accommodation at </w:t>
      </w:r>
      <w:r w:rsidR="00392F46" w:rsidRPr="00502ECB">
        <w:t>the workplace</w:t>
      </w:r>
      <w:r w:rsidR="002737F3" w:rsidRPr="00502ECB">
        <w:t>.</w:t>
      </w:r>
    </w:p>
    <w:p w14:paraId="1C6BB6BB" w14:textId="613E5208" w:rsidR="00EE35CB" w:rsidRPr="00502ECB" w:rsidRDefault="00EE35CB" w:rsidP="00EE35CB">
      <w:pPr>
        <w:pStyle w:val="SingleTxtG"/>
        <w:rPr>
          <w:b/>
        </w:rPr>
      </w:pPr>
      <w:r w:rsidRPr="00502ECB">
        <w:t>54.</w:t>
      </w:r>
      <w:r w:rsidRPr="00502ECB">
        <w:tab/>
      </w:r>
      <w:r w:rsidR="00AD2EC1">
        <w:rPr>
          <w:b/>
          <w:bCs/>
        </w:rPr>
        <w:t>With reference to</w:t>
      </w:r>
      <w:r w:rsidR="00AD2EC1" w:rsidRPr="00502ECB">
        <w:rPr>
          <w:b/>
          <w:bCs/>
        </w:rPr>
        <w:t xml:space="preserve"> </w:t>
      </w:r>
      <w:r w:rsidRPr="00502ECB">
        <w:rPr>
          <w:b/>
          <w:bCs/>
        </w:rPr>
        <w:t xml:space="preserve">its </w:t>
      </w:r>
      <w:r w:rsidR="00E2527F">
        <w:rPr>
          <w:b/>
          <w:bCs/>
        </w:rPr>
        <w:t>G</w:t>
      </w:r>
      <w:r w:rsidRPr="00502ECB">
        <w:rPr>
          <w:b/>
          <w:bCs/>
        </w:rPr>
        <w:t>eneral comment No. 8 (2022)</w:t>
      </w:r>
      <w:r w:rsidR="00AD2EC1">
        <w:rPr>
          <w:b/>
          <w:bCs/>
        </w:rPr>
        <w:t xml:space="preserve"> on the right of persons with disabilities to work and employment</w:t>
      </w:r>
      <w:r w:rsidRPr="00502ECB">
        <w:rPr>
          <w:b/>
          <w:bCs/>
        </w:rPr>
        <w:t xml:space="preserve"> the Committee recommends</w:t>
      </w:r>
      <w:r w:rsidRPr="00502ECB">
        <w:rPr>
          <w:b/>
        </w:rPr>
        <w:t xml:space="preserve"> that, in line with target 8.5 of the Sustainable Development Goals, the State party:</w:t>
      </w:r>
    </w:p>
    <w:p w14:paraId="47F7E099" w14:textId="2EDDD433" w:rsidR="00823877" w:rsidRPr="00061C75" w:rsidRDefault="00AD103E" w:rsidP="005C11A4">
      <w:pPr>
        <w:pStyle w:val="SingleTxtG"/>
        <w:ind w:firstLine="567"/>
        <w:rPr>
          <w:b/>
        </w:rPr>
      </w:pPr>
      <w:r w:rsidRPr="00061C75">
        <w:rPr>
          <w:b/>
        </w:rPr>
        <w:t>(a)</w:t>
      </w:r>
      <w:r w:rsidRPr="00061C75">
        <w:rPr>
          <w:b/>
        </w:rPr>
        <w:tab/>
      </w:r>
      <w:r w:rsidR="00823877" w:rsidRPr="00061C75">
        <w:rPr>
          <w:b/>
          <w:bCs/>
        </w:rPr>
        <w:t xml:space="preserve">Withdraw provisions in the Law of Georgia on Public Service </w:t>
      </w:r>
      <w:r w:rsidR="00004F9C" w:rsidRPr="00061C75">
        <w:rPr>
          <w:b/>
          <w:bCs/>
        </w:rPr>
        <w:t xml:space="preserve">preventing </w:t>
      </w:r>
      <w:r w:rsidR="00823877" w:rsidRPr="00061C75">
        <w:rPr>
          <w:b/>
          <w:bCs/>
        </w:rPr>
        <w:t>the right of persons with disabilities from occupying positions as public servants</w:t>
      </w:r>
      <w:r w:rsidR="00004F9C" w:rsidRPr="00061C75">
        <w:rPr>
          <w:b/>
          <w:bCs/>
        </w:rPr>
        <w:t>,</w:t>
      </w:r>
      <w:r w:rsidR="00823877" w:rsidRPr="00061C75">
        <w:rPr>
          <w:b/>
          <w:bCs/>
        </w:rPr>
        <w:t xml:space="preserve"> and legislation </w:t>
      </w:r>
      <w:r w:rsidR="00004F9C" w:rsidRPr="00061C75">
        <w:rPr>
          <w:b/>
          <w:bCs/>
        </w:rPr>
        <w:t xml:space="preserve">declaring </w:t>
      </w:r>
      <w:r w:rsidR="00823877" w:rsidRPr="00061C75">
        <w:rPr>
          <w:b/>
          <w:bCs/>
        </w:rPr>
        <w:t>persons with disabilities requiring higher levels of support</w:t>
      </w:r>
      <w:r w:rsidR="00004F9C" w:rsidRPr="00061C75">
        <w:rPr>
          <w:b/>
          <w:bCs/>
        </w:rPr>
        <w:t xml:space="preserve"> as not empl</w:t>
      </w:r>
      <w:r w:rsidR="00DE43AA" w:rsidRPr="00061C75">
        <w:rPr>
          <w:b/>
          <w:bCs/>
        </w:rPr>
        <w:t>oy</w:t>
      </w:r>
      <w:r w:rsidR="00004F9C" w:rsidRPr="00061C75">
        <w:rPr>
          <w:b/>
          <w:bCs/>
        </w:rPr>
        <w:t>able</w:t>
      </w:r>
      <w:r w:rsidR="00823877" w:rsidRPr="00061C75">
        <w:rPr>
          <w:b/>
          <w:bCs/>
        </w:rPr>
        <w:t xml:space="preserve">; </w:t>
      </w:r>
      <w:r w:rsidR="00E2527F" w:rsidRPr="00061C75">
        <w:rPr>
          <w:b/>
          <w:bCs/>
        </w:rPr>
        <w:t>i</w:t>
      </w:r>
      <w:r w:rsidR="00823877" w:rsidRPr="00061C75">
        <w:rPr>
          <w:b/>
          <w:bCs/>
        </w:rPr>
        <w:t xml:space="preserve">ntroduce and disseminate information about complaint mechanisms and remedies concerning discrimination </w:t>
      </w:r>
      <w:r w:rsidR="00823877" w:rsidRPr="00061C75">
        <w:rPr>
          <w:b/>
          <w:bCs/>
          <w:lang w:val="en-US"/>
        </w:rPr>
        <w:t xml:space="preserve">on the basis of disability in </w:t>
      </w:r>
      <w:proofErr w:type="gramStart"/>
      <w:r w:rsidR="00823877" w:rsidRPr="00061C75">
        <w:rPr>
          <w:b/>
          <w:bCs/>
          <w:lang w:val="en-US"/>
        </w:rPr>
        <w:t>employment;</w:t>
      </w:r>
      <w:proofErr w:type="gramEnd"/>
    </w:p>
    <w:p w14:paraId="5BC7406E" w14:textId="24A67FD3" w:rsidR="00004F9C" w:rsidRPr="00061C75" w:rsidRDefault="00004F9C" w:rsidP="00004F9C">
      <w:pPr>
        <w:pStyle w:val="SingleTxtG"/>
        <w:ind w:firstLine="567"/>
        <w:rPr>
          <w:b/>
          <w:bCs/>
          <w:lang w:val="en-US"/>
        </w:rPr>
      </w:pPr>
      <w:r w:rsidRPr="00061C75">
        <w:rPr>
          <w:b/>
        </w:rPr>
        <w:t>(</w:t>
      </w:r>
      <w:r w:rsidR="00DE43AA" w:rsidRPr="00061C75">
        <w:rPr>
          <w:b/>
        </w:rPr>
        <w:t>b</w:t>
      </w:r>
      <w:r w:rsidRPr="00061C75">
        <w:rPr>
          <w:b/>
        </w:rPr>
        <w:t>)</w:t>
      </w:r>
      <w:r w:rsidRPr="00061C75">
        <w:rPr>
          <w:b/>
        </w:rPr>
        <w:tab/>
      </w:r>
      <w:r w:rsidRPr="00061C75">
        <w:rPr>
          <w:b/>
          <w:bCs/>
          <w:lang w:val="en-US"/>
        </w:rPr>
        <w:t xml:space="preserve">Adopt measures to protect the rights of persons with disabilities, on an equal basis with others, to just and favorable conditions of work, including equal opportunities and equal remuneration for work of equal </w:t>
      </w:r>
      <w:proofErr w:type="gramStart"/>
      <w:r w:rsidRPr="00061C75">
        <w:rPr>
          <w:b/>
          <w:bCs/>
          <w:lang w:val="en-US"/>
        </w:rPr>
        <w:t>value;</w:t>
      </w:r>
      <w:proofErr w:type="gramEnd"/>
    </w:p>
    <w:p w14:paraId="32F1F3CC" w14:textId="43B87902" w:rsidR="00823877" w:rsidRPr="00502ECB" w:rsidRDefault="00823877" w:rsidP="00823877">
      <w:pPr>
        <w:pStyle w:val="SingleTxtG"/>
        <w:ind w:firstLine="567"/>
        <w:rPr>
          <w:b/>
          <w:bCs/>
        </w:rPr>
      </w:pPr>
      <w:r w:rsidRPr="00061C75">
        <w:rPr>
          <w:b/>
        </w:rPr>
        <w:t>(</w:t>
      </w:r>
      <w:r w:rsidR="00DE43AA" w:rsidRPr="00061C75">
        <w:rPr>
          <w:b/>
        </w:rPr>
        <w:t>c</w:t>
      </w:r>
      <w:r w:rsidRPr="00061C75">
        <w:rPr>
          <w:b/>
        </w:rPr>
        <w:t>)</w:t>
      </w:r>
      <w:r w:rsidRPr="00061C75">
        <w:rPr>
          <w:b/>
          <w:bCs/>
        </w:rPr>
        <w:tab/>
      </w:r>
      <w:r w:rsidR="00046A51" w:rsidRPr="00061C75">
        <w:rPr>
          <w:b/>
          <w:bCs/>
        </w:rPr>
        <w:t xml:space="preserve">Adopt </w:t>
      </w:r>
      <w:r w:rsidR="005C11A4" w:rsidRPr="00061C75">
        <w:rPr>
          <w:b/>
          <w:bCs/>
        </w:rPr>
        <w:t>a strategy, in</w:t>
      </w:r>
      <w:r w:rsidR="00004F9C" w:rsidRPr="00061C75">
        <w:rPr>
          <w:b/>
          <w:bCs/>
        </w:rPr>
        <w:t xml:space="preserve"> close</w:t>
      </w:r>
      <w:r w:rsidR="005C11A4" w:rsidRPr="00061C75">
        <w:rPr>
          <w:b/>
          <w:bCs/>
        </w:rPr>
        <w:t xml:space="preserve"> consultation with organizations of persons with disabilities</w:t>
      </w:r>
      <w:r w:rsidR="005C11A4" w:rsidRPr="00502ECB">
        <w:rPr>
          <w:b/>
          <w:bCs/>
        </w:rPr>
        <w:t>, to promote employment of persons with disabilities in the open labour market</w:t>
      </w:r>
      <w:r w:rsidR="00392F46" w:rsidRPr="00502ECB">
        <w:rPr>
          <w:b/>
          <w:bCs/>
        </w:rPr>
        <w:t>,</w:t>
      </w:r>
      <w:r w:rsidR="00C957DD" w:rsidRPr="00502ECB">
        <w:rPr>
          <w:b/>
          <w:bCs/>
        </w:rPr>
        <w:t xml:space="preserve"> </w:t>
      </w:r>
      <w:r w:rsidR="00392F46" w:rsidRPr="00502ECB">
        <w:rPr>
          <w:b/>
          <w:bCs/>
        </w:rPr>
        <w:t>including by</w:t>
      </w:r>
      <w:r w:rsidRPr="00502ECB">
        <w:rPr>
          <w:b/>
          <w:bCs/>
        </w:rPr>
        <w:t xml:space="preserve"> i</w:t>
      </w:r>
      <w:r w:rsidR="00392F46" w:rsidRPr="00502ECB">
        <w:rPr>
          <w:b/>
          <w:bCs/>
        </w:rPr>
        <w:t xml:space="preserve">ntroducing positive measures </w:t>
      </w:r>
      <w:r w:rsidR="00004F9C" w:rsidRPr="00502ECB">
        <w:rPr>
          <w:b/>
          <w:bCs/>
        </w:rPr>
        <w:t xml:space="preserve">facilitating </w:t>
      </w:r>
      <w:r w:rsidR="00392F46" w:rsidRPr="00502ECB">
        <w:rPr>
          <w:b/>
          <w:bCs/>
        </w:rPr>
        <w:t>women with disabilities access to employment</w:t>
      </w:r>
      <w:r w:rsidR="00004F9C" w:rsidRPr="00502ECB">
        <w:rPr>
          <w:b/>
          <w:bCs/>
        </w:rPr>
        <w:t>,</w:t>
      </w:r>
      <w:r w:rsidR="00392F46" w:rsidRPr="00502ECB">
        <w:rPr>
          <w:b/>
          <w:bCs/>
        </w:rPr>
        <w:t xml:space="preserve"> and mainstreaming </w:t>
      </w:r>
      <w:r w:rsidR="002737F3" w:rsidRPr="00502ECB">
        <w:rPr>
          <w:b/>
          <w:bCs/>
        </w:rPr>
        <w:t>disability in general employment programs</w:t>
      </w:r>
      <w:r w:rsidR="005C11A4" w:rsidRPr="00502ECB">
        <w:rPr>
          <w:b/>
          <w:bCs/>
        </w:rPr>
        <w:t xml:space="preserve">. </w:t>
      </w:r>
      <w:r w:rsidR="00004F9C" w:rsidRPr="00502ECB">
        <w:rPr>
          <w:b/>
          <w:bCs/>
        </w:rPr>
        <w:t>Ensure that the Strategy extends to</w:t>
      </w:r>
      <w:r w:rsidRPr="00502ECB">
        <w:rPr>
          <w:b/>
          <w:bCs/>
        </w:rPr>
        <w:t>:</w:t>
      </w:r>
    </w:p>
    <w:p w14:paraId="55BAD2F5" w14:textId="36C0374F" w:rsidR="00823877" w:rsidRPr="004236DF" w:rsidRDefault="00823877" w:rsidP="00823877">
      <w:pPr>
        <w:pStyle w:val="SingleTxtG"/>
        <w:ind w:left="1701" w:firstLine="567"/>
        <w:rPr>
          <w:b/>
          <w:bCs/>
        </w:rPr>
      </w:pPr>
      <w:r w:rsidRPr="004236DF">
        <w:rPr>
          <w:b/>
        </w:rPr>
        <w:t>(</w:t>
      </w:r>
      <w:proofErr w:type="spellStart"/>
      <w:r w:rsidRPr="004236DF">
        <w:rPr>
          <w:b/>
        </w:rPr>
        <w:t>i</w:t>
      </w:r>
      <w:proofErr w:type="spellEnd"/>
      <w:r w:rsidRPr="004236DF">
        <w:rPr>
          <w:b/>
        </w:rPr>
        <w:t>)</w:t>
      </w:r>
      <w:r w:rsidRPr="004236DF">
        <w:rPr>
          <w:b/>
        </w:rPr>
        <w:tab/>
      </w:r>
      <w:r w:rsidRPr="004236DF">
        <w:rPr>
          <w:b/>
          <w:bCs/>
        </w:rPr>
        <w:t xml:space="preserve">Measures </w:t>
      </w:r>
      <w:r w:rsidR="005C11A4" w:rsidRPr="004236DF">
        <w:rPr>
          <w:b/>
          <w:bCs/>
        </w:rPr>
        <w:t xml:space="preserve">concerning accessible information </w:t>
      </w:r>
      <w:r w:rsidRPr="004236DF">
        <w:rPr>
          <w:b/>
          <w:bCs/>
        </w:rPr>
        <w:t xml:space="preserve">about job vacancies </w:t>
      </w:r>
      <w:r w:rsidR="005C11A4" w:rsidRPr="004236DF">
        <w:rPr>
          <w:b/>
          <w:bCs/>
        </w:rPr>
        <w:t xml:space="preserve">and </w:t>
      </w:r>
      <w:r w:rsidR="0044651E" w:rsidRPr="004236DF">
        <w:rPr>
          <w:b/>
          <w:bCs/>
        </w:rPr>
        <w:t xml:space="preserve">recruitment </w:t>
      </w:r>
      <w:proofErr w:type="gramStart"/>
      <w:r w:rsidR="005C11A4" w:rsidRPr="004236DF">
        <w:rPr>
          <w:b/>
          <w:bCs/>
        </w:rPr>
        <w:t>procedures</w:t>
      </w:r>
      <w:r w:rsidRPr="004236DF">
        <w:rPr>
          <w:b/>
          <w:bCs/>
        </w:rPr>
        <w:t>;</w:t>
      </w:r>
      <w:proofErr w:type="gramEnd"/>
      <w:r w:rsidR="005C11A4" w:rsidRPr="004236DF">
        <w:rPr>
          <w:b/>
          <w:bCs/>
        </w:rPr>
        <w:t xml:space="preserve"> </w:t>
      </w:r>
    </w:p>
    <w:p w14:paraId="00327176" w14:textId="4A5ED346" w:rsidR="00823877" w:rsidRPr="004236DF" w:rsidRDefault="00823877" w:rsidP="00823877">
      <w:pPr>
        <w:pStyle w:val="SingleTxtG"/>
        <w:ind w:left="1701" w:firstLine="567"/>
        <w:rPr>
          <w:b/>
          <w:bCs/>
        </w:rPr>
      </w:pPr>
      <w:r w:rsidRPr="004236DF">
        <w:rPr>
          <w:b/>
        </w:rPr>
        <w:t>(ii)</w:t>
      </w:r>
      <w:r w:rsidRPr="004236DF">
        <w:rPr>
          <w:b/>
          <w:bCs/>
        </w:rPr>
        <w:tab/>
        <w:t>O</w:t>
      </w:r>
      <w:r w:rsidR="005C11A4" w:rsidRPr="004236DF">
        <w:rPr>
          <w:b/>
          <w:bCs/>
        </w:rPr>
        <w:t xml:space="preserve">pportunities for </w:t>
      </w:r>
      <w:proofErr w:type="gramStart"/>
      <w:r w:rsidR="005C11A4" w:rsidRPr="004236DF">
        <w:rPr>
          <w:b/>
          <w:bCs/>
        </w:rPr>
        <w:t>promotion</w:t>
      </w:r>
      <w:r w:rsidRPr="004236DF">
        <w:rPr>
          <w:b/>
          <w:bCs/>
        </w:rPr>
        <w:t>;</w:t>
      </w:r>
      <w:proofErr w:type="gramEnd"/>
    </w:p>
    <w:p w14:paraId="2B7C0F49" w14:textId="1707180C" w:rsidR="00823877" w:rsidRPr="004236DF" w:rsidRDefault="00823877" w:rsidP="00823877">
      <w:pPr>
        <w:pStyle w:val="SingleTxtG"/>
        <w:ind w:left="1701" w:firstLine="567"/>
        <w:rPr>
          <w:b/>
          <w:bCs/>
        </w:rPr>
      </w:pPr>
      <w:r w:rsidRPr="004236DF">
        <w:rPr>
          <w:b/>
        </w:rPr>
        <w:t>(iii)</w:t>
      </w:r>
      <w:r w:rsidRPr="004236DF">
        <w:rPr>
          <w:b/>
          <w:bCs/>
        </w:rPr>
        <w:tab/>
        <w:t>A</w:t>
      </w:r>
      <w:r w:rsidR="005C11A4" w:rsidRPr="004236DF">
        <w:rPr>
          <w:b/>
          <w:bCs/>
        </w:rPr>
        <w:t xml:space="preserve">ccess to </w:t>
      </w:r>
      <w:r w:rsidR="00004F9C" w:rsidRPr="004236DF">
        <w:rPr>
          <w:b/>
          <w:bCs/>
        </w:rPr>
        <w:t xml:space="preserve">employment </w:t>
      </w:r>
      <w:r w:rsidR="005C11A4" w:rsidRPr="004236DF">
        <w:rPr>
          <w:b/>
          <w:bCs/>
        </w:rPr>
        <w:t>in all sectors of</w:t>
      </w:r>
      <w:r w:rsidR="00004F9C" w:rsidRPr="004236DF">
        <w:rPr>
          <w:b/>
          <w:bCs/>
        </w:rPr>
        <w:t xml:space="preserve"> the</w:t>
      </w:r>
      <w:r w:rsidR="005C11A4" w:rsidRPr="004236DF">
        <w:rPr>
          <w:b/>
          <w:bCs/>
        </w:rPr>
        <w:t xml:space="preserve"> economy and in the public and private </w:t>
      </w:r>
      <w:proofErr w:type="gramStart"/>
      <w:r w:rsidR="005C11A4" w:rsidRPr="004236DF">
        <w:rPr>
          <w:b/>
          <w:bCs/>
        </w:rPr>
        <w:t>sectors</w:t>
      </w:r>
      <w:r w:rsidRPr="004236DF">
        <w:rPr>
          <w:b/>
          <w:bCs/>
        </w:rPr>
        <w:t>;</w:t>
      </w:r>
      <w:proofErr w:type="gramEnd"/>
    </w:p>
    <w:p w14:paraId="0753A470" w14:textId="734560D6" w:rsidR="00823877" w:rsidRPr="004236DF" w:rsidRDefault="00823877" w:rsidP="00823877">
      <w:pPr>
        <w:pStyle w:val="SingleTxtG"/>
        <w:ind w:left="1701" w:firstLine="567"/>
        <w:rPr>
          <w:b/>
          <w:bCs/>
        </w:rPr>
      </w:pPr>
      <w:r w:rsidRPr="004236DF">
        <w:rPr>
          <w:b/>
        </w:rPr>
        <w:t>(iv)</w:t>
      </w:r>
      <w:r w:rsidRPr="004236DF">
        <w:rPr>
          <w:b/>
          <w:bCs/>
        </w:rPr>
        <w:tab/>
      </w:r>
      <w:r w:rsidR="00004F9C" w:rsidRPr="004236DF">
        <w:rPr>
          <w:b/>
          <w:bCs/>
        </w:rPr>
        <w:t xml:space="preserve">Measures </w:t>
      </w:r>
      <w:r w:rsidR="00392F46" w:rsidRPr="004236DF">
        <w:rPr>
          <w:b/>
          <w:bCs/>
        </w:rPr>
        <w:t xml:space="preserve">to address prejudice </w:t>
      </w:r>
      <w:r w:rsidR="00004F9C" w:rsidRPr="004236DF">
        <w:rPr>
          <w:b/>
          <w:bCs/>
        </w:rPr>
        <w:t xml:space="preserve">about the </w:t>
      </w:r>
      <w:r w:rsidR="00392F46" w:rsidRPr="004236DF">
        <w:rPr>
          <w:b/>
          <w:bCs/>
        </w:rPr>
        <w:t xml:space="preserve">employability of persons with </w:t>
      </w:r>
      <w:proofErr w:type="gramStart"/>
      <w:r w:rsidR="00392F46" w:rsidRPr="004236DF">
        <w:rPr>
          <w:b/>
          <w:bCs/>
        </w:rPr>
        <w:t>disabilities</w:t>
      </w:r>
      <w:r w:rsidRPr="004236DF">
        <w:rPr>
          <w:b/>
          <w:bCs/>
        </w:rPr>
        <w:t>;</w:t>
      </w:r>
      <w:proofErr w:type="gramEnd"/>
    </w:p>
    <w:p w14:paraId="66DCF793" w14:textId="7FE52486" w:rsidR="00046A51" w:rsidRPr="00502ECB" w:rsidRDefault="00823877" w:rsidP="00823877">
      <w:pPr>
        <w:pStyle w:val="SingleTxtG"/>
        <w:ind w:left="1701" w:firstLine="567"/>
        <w:rPr>
          <w:b/>
          <w:bCs/>
        </w:rPr>
      </w:pPr>
      <w:r w:rsidRPr="004236DF">
        <w:rPr>
          <w:b/>
        </w:rPr>
        <w:t>(v)</w:t>
      </w:r>
      <w:r w:rsidRPr="004236DF">
        <w:rPr>
          <w:b/>
          <w:bCs/>
        </w:rPr>
        <w:tab/>
      </w:r>
      <w:r w:rsidR="009F13A6" w:rsidRPr="004236DF">
        <w:rPr>
          <w:b/>
          <w:bCs/>
        </w:rPr>
        <w:t xml:space="preserve">Reinforcing good practices, including appointment of </w:t>
      </w:r>
      <w:r w:rsidR="00C957DD" w:rsidRPr="004236DF">
        <w:rPr>
          <w:b/>
          <w:bCs/>
        </w:rPr>
        <w:t>job coaches</w:t>
      </w:r>
      <w:r w:rsidR="009F13A6" w:rsidRPr="004236DF">
        <w:rPr>
          <w:b/>
          <w:bCs/>
        </w:rPr>
        <w:t xml:space="preserve"> referred by the</w:t>
      </w:r>
      <w:r w:rsidR="009F13A6" w:rsidRPr="00502ECB">
        <w:rPr>
          <w:b/>
          <w:bCs/>
        </w:rPr>
        <w:t xml:space="preserve"> State party in its report (CRPD/C/GEO/1, para. 188</w:t>
      </w:r>
      <w:proofErr w:type="gramStart"/>
      <w:r w:rsidR="009F13A6" w:rsidRPr="00502ECB">
        <w:rPr>
          <w:b/>
          <w:bCs/>
        </w:rPr>
        <w:t>)</w:t>
      </w:r>
      <w:r w:rsidR="005C11A4" w:rsidRPr="00502ECB">
        <w:rPr>
          <w:b/>
          <w:bCs/>
        </w:rPr>
        <w:t>;</w:t>
      </w:r>
      <w:proofErr w:type="gramEnd"/>
      <w:r w:rsidR="005C11A4" w:rsidRPr="00502ECB">
        <w:rPr>
          <w:b/>
          <w:bCs/>
        </w:rPr>
        <w:t xml:space="preserve"> </w:t>
      </w:r>
    </w:p>
    <w:p w14:paraId="23152B2F" w14:textId="0F338A3B" w:rsidR="00AD103E" w:rsidRPr="004236DF" w:rsidRDefault="005210D3" w:rsidP="00AD103E">
      <w:pPr>
        <w:pStyle w:val="SingleTxtG"/>
        <w:ind w:firstLine="567"/>
        <w:rPr>
          <w:b/>
        </w:rPr>
      </w:pPr>
      <w:r w:rsidRPr="004236DF">
        <w:rPr>
          <w:b/>
        </w:rPr>
        <w:t>(d)</w:t>
      </w:r>
      <w:r w:rsidRPr="004236DF">
        <w:rPr>
          <w:b/>
        </w:rPr>
        <w:tab/>
      </w:r>
      <w:r w:rsidR="007C1E15" w:rsidRPr="004236DF">
        <w:rPr>
          <w:b/>
          <w:bCs/>
        </w:rPr>
        <w:t xml:space="preserve">Ensure that work capability assessments are aimed </w:t>
      </w:r>
      <w:r w:rsidR="00E2527F" w:rsidRPr="004236DF">
        <w:rPr>
          <w:b/>
          <w:bCs/>
        </w:rPr>
        <w:t xml:space="preserve">at </w:t>
      </w:r>
      <w:r w:rsidR="007C1E15" w:rsidRPr="004236DF">
        <w:rPr>
          <w:b/>
          <w:bCs/>
        </w:rPr>
        <w:t>identify</w:t>
      </w:r>
      <w:r w:rsidR="00E2527F" w:rsidRPr="004236DF">
        <w:rPr>
          <w:b/>
          <w:bCs/>
        </w:rPr>
        <w:t>ing</w:t>
      </w:r>
      <w:r w:rsidR="007C1E15" w:rsidRPr="004236DF">
        <w:rPr>
          <w:b/>
          <w:bCs/>
        </w:rPr>
        <w:t xml:space="preserve"> and address barriers being faced by persons with disabilities at </w:t>
      </w:r>
      <w:proofErr w:type="gramStart"/>
      <w:r w:rsidR="007C1E15" w:rsidRPr="004236DF">
        <w:rPr>
          <w:b/>
          <w:bCs/>
        </w:rPr>
        <w:t>work;</w:t>
      </w:r>
      <w:proofErr w:type="gramEnd"/>
      <w:r w:rsidR="007C1E15" w:rsidRPr="004236DF">
        <w:rPr>
          <w:b/>
          <w:bCs/>
        </w:rPr>
        <w:t xml:space="preserve"> </w:t>
      </w:r>
    </w:p>
    <w:p w14:paraId="3DCFA2B1" w14:textId="37B41B8F" w:rsidR="00A27824" w:rsidRPr="00502ECB" w:rsidRDefault="00AD103E" w:rsidP="00823877">
      <w:pPr>
        <w:pStyle w:val="SingleTxtG"/>
        <w:ind w:firstLine="567"/>
        <w:rPr>
          <w:b/>
          <w:bCs/>
        </w:rPr>
      </w:pPr>
      <w:r w:rsidRPr="004236DF">
        <w:rPr>
          <w:b/>
        </w:rPr>
        <w:t>(</w:t>
      </w:r>
      <w:r w:rsidR="008737BD" w:rsidRPr="004236DF">
        <w:rPr>
          <w:b/>
        </w:rPr>
        <w:t>e</w:t>
      </w:r>
      <w:r w:rsidRPr="004236DF">
        <w:rPr>
          <w:b/>
        </w:rPr>
        <w:t>)</w:t>
      </w:r>
      <w:r w:rsidR="00686DFB" w:rsidRPr="00502ECB">
        <w:tab/>
      </w:r>
      <w:r w:rsidR="00C957DD" w:rsidRPr="00502ECB">
        <w:rPr>
          <w:b/>
          <w:bCs/>
        </w:rPr>
        <w:t xml:space="preserve">Develop guidance for employers and employees about the </w:t>
      </w:r>
      <w:r w:rsidR="00686DFB" w:rsidRPr="00502ECB">
        <w:rPr>
          <w:b/>
          <w:bCs/>
        </w:rPr>
        <w:t xml:space="preserve">legal duty to provide reasonable accommodation at the workplace, including individualized modifications, </w:t>
      </w:r>
      <w:proofErr w:type="gramStart"/>
      <w:r w:rsidR="00686DFB" w:rsidRPr="00502ECB">
        <w:rPr>
          <w:b/>
          <w:bCs/>
        </w:rPr>
        <w:t>adjustments</w:t>
      </w:r>
      <w:proofErr w:type="gramEnd"/>
      <w:r w:rsidR="00686DFB" w:rsidRPr="00502ECB">
        <w:rPr>
          <w:b/>
          <w:bCs/>
        </w:rPr>
        <w:t xml:space="preserve"> and support</w:t>
      </w:r>
      <w:r w:rsidR="00DE43AA" w:rsidRPr="00502ECB">
        <w:rPr>
          <w:b/>
          <w:bCs/>
        </w:rPr>
        <w:t>,</w:t>
      </w:r>
      <w:r w:rsidR="00C957DD" w:rsidRPr="00502ECB">
        <w:rPr>
          <w:b/>
          <w:bCs/>
        </w:rPr>
        <w:t xml:space="preserve"> and monitor its implementation. </w:t>
      </w:r>
    </w:p>
    <w:p w14:paraId="3F16C7DA" w14:textId="349A2F52" w:rsidR="00EE35CB" w:rsidRPr="00502ECB" w:rsidRDefault="00EE35CB" w:rsidP="00EE35CB">
      <w:pPr>
        <w:pStyle w:val="H23G"/>
        <w:outlineLvl w:val="2"/>
      </w:pPr>
      <w:r w:rsidRPr="00502ECB">
        <w:tab/>
      </w:r>
      <w:r w:rsidRPr="00502ECB">
        <w:tab/>
        <w:t>Adequate standard of living and social protection (art. 28)</w:t>
      </w:r>
    </w:p>
    <w:p w14:paraId="67FDDE7E" w14:textId="61F40C99" w:rsidR="00EE35CB" w:rsidRPr="00502ECB" w:rsidRDefault="00EE35CB" w:rsidP="00EE35CB">
      <w:pPr>
        <w:pStyle w:val="SingleTxtG"/>
      </w:pPr>
      <w:r w:rsidRPr="00502ECB">
        <w:t>55.</w:t>
      </w:r>
      <w:r w:rsidRPr="00502ECB">
        <w:tab/>
        <w:t>The Committee is concerned</w:t>
      </w:r>
      <w:r w:rsidR="000E1146" w:rsidRPr="00502ECB">
        <w:t xml:space="preserve"> about</w:t>
      </w:r>
      <w:r w:rsidRPr="00502ECB">
        <w:t>:</w:t>
      </w:r>
    </w:p>
    <w:p w14:paraId="0255C17F" w14:textId="661148A0" w:rsidR="00A54FE0" w:rsidRPr="00502ECB" w:rsidRDefault="00EE35CB" w:rsidP="004236DF">
      <w:pPr>
        <w:pStyle w:val="SingleTxtG"/>
        <w:ind w:firstLine="567"/>
        <w:rPr>
          <w:color w:val="000000" w:themeColor="text1"/>
        </w:rPr>
      </w:pPr>
      <w:r w:rsidRPr="00502ECB">
        <w:t>(a)</w:t>
      </w:r>
      <w:r w:rsidRPr="00502ECB">
        <w:tab/>
      </w:r>
      <w:r w:rsidR="000E1146" w:rsidRPr="00502ECB">
        <w:t>L</w:t>
      </w:r>
      <w:r w:rsidR="00ED4C6C" w:rsidRPr="00502ECB">
        <w:t xml:space="preserve">egislation </w:t>
      </w:r>
      <w:r w:rsidR="00DE43AA" w:rsidRPr="00502ECB">
        <w:t xml:space="preserve">that </w:t>
      </w:r>
      <w:r w:rsidR="00E32F59" w:rsidRPr="00502ECB">
        <w:t xml:space="preserve">excludes persons with disabilities receiving retirement pensions from disability </w:t>
      </w:r>
      <w:proofErr w:type="gramStart"/>
      <w:r w:rsidR="00E32F59" w:rsidRPr="00502ECB">
        <w:t>benefits;</w:t>
      </w:r>
      <w:proofErr w:type="gramEnd"/>
      <w:r w:rsidR="00A54FE0" w:rsidRPr="00502ECB">
        <w:rPr>
          <w:color w:val="000000" w:themeColor="text1"/>
        </w:rPr>
        <w:t xml:space="preserve"> </w:t>
      </w:r>
    </w:p>
    <w:p w14:paraId="73486E09" w14:textId="6DD2C28B" w:rsidR="000E1146" w:rsidRPr="00502ECB" w:rsidRDefault="000E1146" w:rsidP="00A54FE0">
      <w:pPr>
        <w:pStyle w:val="SingleTxtG"/>
        <w:ind w:firstLine="567"/>
        <w:rPr>
          <w:bCs/>
        </w:rPr>
      </w:pPr>
      <w:r w:rsidRPr="00502ECB">
        <w:rPr>
          <w:bCs/>
        </w:rPr>
        <w:t>(b)</w:t>
      </w:r>
      <w:r w:rsidRPr="00502ECB">
        <w:rPr>
          <w:bCs/>
        </w:rPr>
        <w:tab/>
      </w:r>
      <w:r w:rsidRPr="004236DF">
        <w:t>Information</w:t>
      </w:r>
      <w:r w:rsidRPr="00502ECB">
        <w:rPr>
          <w:bCs/>
        </w:rPr>
        <w:t xml:space="preserve"> </w:t>
      </w:r>
      <w:r w:rsidR="00E32F59" w:rsidRPr="00502ECB">
        <w:rPr>
          <w:bCs/>
        </w:rPr>
        <w:t xml:space="preserve">that </w:t>
      </w:r>
      <w:r w:rsidRPr="00502ECB">
        <w:rPr>
          <w:bCs/>
        </w:rPr>
        <w:t>social benefits</w:t>
      </w:r>
      <w:r w:rsidR="00E32F59" w:rsidRPr="00502ECB">
        <w:rPr>
          <w:bCs/>
        </w:rPr>
        <w:t xml:space="preserve"> are insufficient</w:t>
      </w:r>
      <w:r w:rsidRPr="00502ECB">
        <w:rPr>
          <w:bCs/>
        </w:rPr>
        <w:t xml:space="preserve"> to secure an adequate standard of living for persons with </w:t>
      </w:r>
      <w:proofErr w:type="gramStart"/>
      <w:r w:rsidRPr="00502ECB">
        <w:rPr>
          <w:bCs/>
        </w:rPr>
        <w:t>disabilities;</w:t>
      </w:r>
      <w:proofErr w:type="gramEnd"/>
    </w:p>
    <w:p w14:paraId="606E0217" w14:textId="03FA3952" w:rsidR="00A54FE0" w:rsidRPr="00502ECB" w:rsidRDefault="00A54FE0" w:rsidP="00A54FE0">
      <w:pPr>
        <w:pStyle w:val="SingleTxtG"/>
        <w:ind w:firstLine="567"/>
        <w:rPr>
          <w:bCs/>
          <w:color w:val="000000" w:themeColor="text1"/>
        </w:rPr>
      </w:pPr>
      <w:r w:rsidRPr="00502ECB">
        <w:rPr>
          <w:bCs/>
        </w:rPr>
        <w:t>(</w:t>
      </w:r>
      <w:r w:rsidR="000E1146" w:rsidRPr="00502ECB">
        <w:rPr>
          <w:bCs/>
          <w:color w:val="000000" w:themeColor="text1"/>
        </w:rPr>
        <w:t>c</w:t>
      </w:r>
      <w:r w:rsidRPr="00502ECB">
        <w:rPr>
          <w:bCs/>
          <w:color w:val="000000" w:themeColor="text1"/>
        </w:rPr>
        <w:t>)</w:t>
      </w:r>
      <w:r w:rsidRPr="00502ECB">
        <w:rPr>
          <w:bCs/>
          <w:color w:val="000000" w:themeColor="text1"/>
        </w:rPr>
        <w:tab/>
      </w:r>
      <w:r w:rsidRPr="004236DF">
        <w:t>The</w:t>
      </w:r>
      <w:r w:rsidRPr="00502ECB">
        <w:rPr>
          <w:bCs/>
          <w:color w:val="000000" w:themeColor="text1"/>
        </w:rPr>
        <w:t xml:space="preserve"> </w:t>
      </w:r>
      <w:r w:rsidR="007C1E15" w:rsidRPr="00502ECB">
        <w:rPr>
          <w:bCs/>
          <w:color w:val="000000" w:themeColor="text1"/>
        </w:rPr>
        <w:t>limited availability of</w:t>
      </w:r>
      <w:r w:rsidRPr="00502ECB">
        <w:rPr>
          <w:bCs/>
          <w:color w:val="000000" w:themeColor="text1"/>
        </w:rPr>
        <w:t xml:space="preserve"> </w:t>
      </w:r>
      <w:r w:rsidR="007C1E15" w:rsidRPr="00502ECB">
        <w:rPr>
          <w:bCs/>
          <w:color w:val="000000" w:themeColor="text1"/>
        </w:rPr>
        <w:t xml:space="preserve">accessible </w:t>
      </w:r>
      <w:r w:rsidRPr="00502ECB">
        <w:rPr>
          <w:bCs/>
          <w:color w:val="000000" w:themeColor="text1"/>
        </w:rPr>
        <w:t>housing for persons with disabilities</w:t>
      </w:r>
      <w:r w:rsidR="007C1E15" w:rsidRPr="00502ECB">
        <w:rPr>
          <w:bCs/>
          <w:color w:val="000000" w:themeColor="text1"/>
        </w:rPr>
        <w:t>.</w:t>
      </w:r>
    </w:p>
    <w:p w14:paraId="5A446EBB" w14:textId="1AC5C84B" w:rsidR="000E1146" w:rsidRPr="00502ECB" w:rsidRDefault="00A54FE0" w:rsidP="000E1146">
      <w:pPr>
        <w:pStyle w:val="SingleTxtG"/>
        <w:rPr>
          <w:b/>
          <w:bCs/>
          <w:color w:val="000000" w:themeColor="text1"/>
          <w:lang w:val="en-US"/>
        </w:rPr>
      </w:pPr>
      <w:r w:rsidRPr="00502ECB">
        <w:rPr>
          <w:color w:val="000000" w:themeColor="text1"/>
          <w:lang w:val="en-US"/>
        </w:rPr>
        <w:lastRenderedPageBreak/>
        <w:t>56.</w:t>
      </w:r>
      <w:r w:rsidRPr="00502ECB">
        <w:rPr>
          <w:b/>
          <w:bCs/>
          <w:color w:val="000000" w:themeColor="text1"/>
          <w:lang w:val="en-US"/>
        </w:rPr>
        <w:tab/>
      </w:r>
      <w:r w:rsidRPr="00502ECB">
        <w:rPr>
          <w:b/>
          <w:bCs/>
          <w:color w:val="000000" w:themeColor="text1"/>
        </w:rPr>
        <w:t xml:space="preserve">The </w:t>
      </w:r>
      <w:r w:rsidR="000E1146" w:rsidRPr="00502ECB">
        <w:rPr>
          <w:b/>
          <w:bCs/>
          <w:color w:val="000000" w:themeColor="text1"/>
        </w:rPr>
        <w:t>C</w:t>
      </w:r>
      <w:r w:rsidRPr="00502ECB">
        <w:rPr>
          <w:b/>
          <w:bCs/>
          <w:color w:val="000000" w:themeColor="text1"/>
        </w:rPr>
        <w:t>ommittee recommends that</w:t>
      </w:r>
      <w:r w:rsidR="000E1146" w:rsidRPr="00502ECB">
        <w:rPr>
          <w:b/>
          <w:bCs/>
          <w:color w:val="000000" w:themeColor="text1"/>
        </w:rPr>
        <w:t xml:space="preserve"> the</w:t>
      </w:r>
      <w:r w:rsidRPr="00502ECB">
        <w:rPr>
          <w:b/>
          <w:bCs/>
          <w:color w:val="000000" w:themeColor="text1"/>
        </w:rPr>
        <w:t xml:space="preserve"> </w:t>
      </w:r>
      <w:r w:rsidRPr="00502ECB">
        <w:rPr>
          <w:b/>
          <w:bCs/>
          <w:color w:val="000000" w:themeColor="text1"/>
          <w:lang w:val="en-US"/>
        </w:rPr>
        <w:t xml:space="preserve">State </w:t>
      </w:r>
      <w:r w:rsidR="000E1146" w:rsidRPr="00502ECB">
        <w:rPr>
          <w:b/>
          <w:bCs/>
          <w:color w:val="000000" w:themeColor="text1"/>
          <w:lang w:val="en-US"/>
        </w:rPr>
        <w:t>p</w:t>
      </w:r>
      <w:r w:rsidRPr="00502ECB">
        <w:rPr>
          <w:b/>
          <w:bCs/>
          <w:color w:val="000000" w:themeColor="text1"/>
          <w:lang w:val="en-US"/>
        </w:rPr>
        <w:t>arty</w:t>
      </w:r>
      <w:r w:rsidR="000E1146" w:rsidRPr="00502ECB">
        <w:rPr>
          <w:b/>
          <w:bCs/>
          <w:color w:val="000000" w:themeColor="text1"/>
          <w:lang w:val="en-US"/>
        </w:rPr>
        <w:t>:</w:t>
      </w:r>
    </w:p>
    <w:p w14:paraId="07F0F1B8" w14:textId="1391FE71" w:rsidR="000E1146" w:rsidRPr="004236DF" w:rsidRDefault="000E1146" w:rsidP="000E1146">
      <w:pPr>
        <w:pStyle w:val="SingleTxtG"/>
        <w:ind w:firstLine="567"/>
        <w:rPr>
          <w:b/>
          <w:bCs/>
          <w:color w:val="000000" w:themeColor="text1"/>
          <w:lang w:val="en-US"/>
        </w:rPr>
      </w:pPr>
      <w:r w:rsidRPr="004236DF">
        <w:rPr>
          <w:b/>
          <w:color w:val="000000" w:themeColor="text1"/>
          <w:lang w:val="en-US"/>
        </w:rPr>
        <w:t>(a)</w:t>
      </w:r>
      <w:r w:rsidRPr="004236DF">
        <w:rPr>
          <w:b/>
          <w:color w:val="000000" w:themeColor="text1"/>
          <w:lang w:val="en-US"/>
        </w:rPr>
        <w:tab/>
      </w:r>
      <w:r w:rsidRPr="004236DF">
        <w:rPr>
          <w:b/>
          <w:bCs/>
          <w:color w:val="000000" w:themeColor="text1"/>
          <w:lang w:val="en-US"/>
        </w:rPr>
        <w:t>Eliminate discrimination on the basis of disability and age and reform the social protection framework in order to e</w:t>
      </w:r>
      <w:proofErr w:type="spellStart"/>
      <w:r w:rsidRPr="004236DF">
        <w:rPr>
          <w:b/>
          <w:bCs/>
          <w:color w:val="000000" w:themeColor="text1"/>
        </w:rPr>
        <w:t>nsure</w:t>
      </w:r>
      <w:proofErr w:type="spellEnd"/>
      <w:r w:rsidRPr="004236DF">
        <w:rPr>
          <w:b/>
          <w:bCs/>
          <w:color w:val="000000" w:themeColor="text1"/>
        </w:rPr>
        <w:t xml:space="preserve"> that disability-related expenses are </w:t>
      </w:r>
      <w:r w:rsidR="00E32F59" w:rsidRPr="004236DF">
        <w:rPr>
          <w:b/>
          <w:bCs/>
          <w:color w:val="000000" w:themeColor="text1"/>
        </w:rPr>
        <w:t xml:space="preserve">available </w:t>
      </w:r>
      <w:r w:rsidRPr="004236DF">
        <w:rPr>
          <w:b/>
          <w:bCs/>
          <w:color w:val="000000" w:themeColor="text1"/>
        </w:rPr>
        <w:t>to all persons with disabilities</w:t>
      </w:r>
      <w:r w:rsidR="00E32F59" w:rsidRPr="004236DF">
        <w:rPr>
          <w:b/>
          <w:bCs/>
          <w:color w:val="000000" w:themeColor="text1"/>
        </w:rPr>
        <w:t>,</w:t>
      </w:r>
      <w:r w:rsidRPr="004236DF">
        <w:rPr>
          <w:b/>
          <w:bCs/>
          <w:color w:val="000000" w:themeColor="text1"/>
        </w:rPr>
        <w:t xml:space="preserve"> regardless</w:t>
      </w:r>
      <w:r w:rsidR="00E32F59" w:rsidRPr="004236DF">
        <w:rPr>
          <w:b/>
          <w:bCs/>
          <w:color w:val="000000" w:themeColor="text1"/>
        </w:rPr>
        <w:t xml:space="preserve"> of</w:t>
      </w:r>
      <w:r w:rsidRPr="004236DF">
        <w:rPr>
          <w:b/>
          <w:bCs/>
          <w:color w:val="000000" w:themeColor="text1"/>
        </w:rPr>
        <w:t xml:space="preserve"> age or socio-economic </w:t>
      </w:r>
      <w:proofErr w:type="gramStart"/>
      <w:r w:rsidRPr="004236DF">
        <w:rPr>
          <w:b/>
          <w:bCs/>
          <w:color w:val="000000" w:themeColor="text1"/>
        </w:rPr>
        <w:t>status;</w:t>
      </w:r>
      <w:proofErr w:type="gramEnd"/>
      <w:r w:rsidRPr="004236DF">
        <w:rPr>
          <w:b/>
          <w:bCs/>
          <w:color w:val="000000" w:themeColor="text1"/>
        </w:rPr>
        <w:t xml:space="preserve"> </w:t>
      </w:r>
    </w:p>
    <w:p w14:paraId="2BE06488" w14:textId="0F240862" w:rsidR="000E1146" w:rsidRPr="004236DF" w:rsidRDefault="000E1146" w:rsidP="000E1146">
      <w:pPr>
        <w:pStyle w:val="SingleTxtG"/>
        <w:ind w:firstLine="567"/>
        <w:rPr>
          <w:b/>
          <w:bCs/>
          <w:color w:val="000000" w:themeColor="text1"/>
          <w:lang w:val="en-US"/>
        </w:rPr>
      </w:pPr>
      <w:r w:rsidRPr="004236DF">
        <w:rPr>
          <w:b/>
          <w:color w:val="000000" w:themeColor="text1"/>
          <w:lang w:val="en-US"/>
        </w:rPr>
        <w:t>(b)</w:t>
      </w:r>
      <w:r w:rsidRPr="004236DF">
        <w:rPr>
          <w:b/>
          <w:color w:val="000000" w:themeColor="text1"/>
          <w:lang w:val="en-US"/>
        </w:rPr>
        <w:tab/>
      </w:r>
      <w:r w:rsidR="00E32F59" w:rsidRPr="004236DF">
        <w:rPr>
          <w:b/>
          <w:bCs/>
          <w:color w:val="000000" w:themeColor="text1"/>
          <w:lang w:val="en-US"/>
        </w:rPr>
        <w:t>Assess</w:t>
      </w:r>
      <w:r w:rsidRPr="004236DF">
        <w:rPr>
          <w:b/>
          <w:bCs/>
          <w:color w:val="000000" w:themeColor="text1"/>
          <w:lang w:val="en-US"/>
        </w:rPr>
        <w:t xml:space="preserve"> </w:t>
      </w:r>
      <w:r w:rsidR="00E32F59" w:rsidRPr="004236DF">
        <w:rPr>
          <w:b/>
          <w:bCs/>
          <w:color w:val="000000" w:themeColor="text1"/>
          <w:lang w:val="en-US"/>
        </w:rPr>
        <w:t xml:space="preserve">whether </w:t>
      </w:r>
      <w:r w:rsidRPr="004236DF">
        <w:rPr>
          <w:b/>
          <w:bCs/>
          <w:color w:val="000000" w:themeColor="text1"/>
          <w:lang w:val="en-US"/>
        </w:rPr>
        <w:t>the standard of living of persons with disabilities</w:t>
      </w:r>
      <w:r w:rsidR="00E32F59" w:rsidRPr="004236DF">
        <w:rPr>
          <w:b/>
          <w:bCs/>
          <w:color w:val="000000" w:themeColor="text1"/>
          <w:lang w:val="en-US"/>
        </w:rPr>
        <w:t xml:space="preserve"> is adequate,</w:t>
      </w:r>
      <w:r w:rsidRPr="004236DF">
        <w:rPr>
          <w:b/>
          <w:bCs/>
          <w:color w:val="000000" w:themeColor="text1"/>
          <w:lang w:val="en-US"/>
        </w:rPr>
        <w:t xml:space="preserve"> </w:t>
      </w:r>
      <w:r w:rsidR="00E32F59" w:rsidRPr="004236DF">
        <w:rPr>
          <w:b/>
          <w:bCs/>
          <w:color w:val="000000" w:themeColor="text1"/>
          <w:lang w:val="en-US"/>
        </w:rPr>
        <w:t xml:space="preserve">and adjust social disability allowances </w:t>
      </w:r>
      <w:proofErr w:type="gramStart"/>
      <w:r w:rsidR="00E32F59" w:rsidRPr="004236DF">
        <w:rPr>
          <w:b/>
          <w:bCs/>
          <w:color w:val="000000" w:themeColor="text1"/>
          <w:lang w:val="en-US"/>
        </w:rPr>
        <w:t>accordingly;</w:t>
      </w:r>
      <w:proofErr w:type="gramEnd"/>
      <w:r w:rsidR="00D65568" w:rsidRPr="004236DF">
        <w:rPr>
          <w:b/>
          <w:bCs/>
          <w:color w:val="000000" w:themeColor="text1"/>
        </w:rPr>
        <w:t xml:space="preserve"> </w:t>
      </w:r>
    </w:p>
    <w:p w14:paraId="45190D27" w14:textId="78D03C7B" w:rsidR="00EE35CB" w:rsidRPr="00502ECB" w:rsidRDefault="000E1146" w:rsidP="000E1146">
      <w:pPr>
        <w:pStyle w:val="SingleTxtG"/>
        <w:ind w:firstLine="567"/>
        <w:rPr>
          <w:b/>
          <w:bCs/>
          <w:color w:val="000000" w:themeColor="text1"/>
          <w:lang w:val="en-US"/>
        </w:rPr>
      </w:pPr>
      <w:r w:rsidRPr="004236DF">
        <w:rPr>
          <w:b/>
          <w:color w:val="000000" w:themeColor="text1"/>
          <w:lang w:val="en-US"/>
        </w:rPr>
        <w:t>(</w:t>
      </w:r>
      <w:r w:rsidR="00D65568" w:rsidRPr="004236DF">
        <w:rPr>
          <w:b/>
          <w:color w:val="000000" w:themeColor="text1"/>
          <w:lang w:val="en-US"/>
        </w:rPr>
        <w:t>c</w:t>
      </w:r>
      <w:r w:rsidRPr="004236DF">
        <w:rPr>
          <w:b/>
          <w:color w:val="000000" w:themeColor="text1"/>
          <w:lang w:val="en-US"/>
        </w:rPr>
        <w:t>)</w:t>
      </w:r>
      <w:r w:rsidRPr="004236DF">
        <w:rPr>
          <w:b/>
          <w:bCs/>
          <w:color w:val="000000" w:themeColor="text1"/>
          <w:lang w:val="en-US"/>
        </w:rPr>
        <w:tab/>
        <w:t>A</w:t>
      </w:r>
      <w:r w:rsidR="00A54FE0" w:rsidRPr="004236DF">
        <w:rPr>
          <w:b/>
          <w:bCs/>
          <w:color w:val="000000" w:themeColor="text1"/>
          <w:lang w:val="en-US"/>
        </w:rPr>
        <w:t xml:space="preserve">dopt mechanisms in accordance with the Convention and </w:t>
      </w:r>
      <w:r w:rsidR="00D65568" w:rsidRPr="004236DF">
        <w:rPr>
          <w:b/>
          <w:bCs/>
          <w:color w:val="000000" w:themeColor="text1"/>
          <w:lang w:val="en-US"/>
        </w:rPr>
        <w:t>the Committee’s</w:t>
      </w:r>
      <w:r w:rsidR="00D65568" w:rsidRPr="00502ECB">
        <w:rPr>
          <w:b/>
          <w:bCs/>
          <w:color w:val="000000" w:themeColor="text1"/>
          <w:lang w:val="en-US"/>
        </w:rPr>
        <w:t xml:space="preserve"> G</w:t>
      </w:r>
      <w:r w:rsidR="00A54FE0" w:rsidRPr="00502ECB">
        <w:rPr>
          <w:b/>
          <w:bCs/>
          <w:color w:val="000000" w:themeColor="text1"/>
          <w:lang w:val="en-US"/>
        </w:rPr>
        <w:t xml:space="preserve">eneral comment </w:t>
      </w:r>
      <w:r w:rsidR="00D65568" w:rsidRPr="00502ECB">
        <w:rPr>
          <w:b/>
          <w:bCs/>
          <w:color w:val="000000" w:themeColor="text1"/>
          <w:lang w:val="en-US"/>
        </w:rPr>
        <w:t>N</w:t>
      </w:r>
      <w:r w:rsidR="00A54FE0" w:rsidRPr="00502ECB">
        <w:rPr>
          <w:b/>
          <w:bCs/>
          <w:color w:val="000000" w:themeColor="text1"/>
          <w:lang w:val="en-US"/>
        </w:rPr>
        <w:t>o. 5</w:t>
      </w:r>
      <w:r w:rsidR="00D65568" w:rsidRPr="00502ECB">
        <w:rPr>
          <w:b/>
          <w:bCs/>
          <w:color w:val="000000" w:themeColor="text1"/>
          <w:lang w:val="en-US"/>
        </w:rPr>
        <w:t xml:space="preserve"> (2017)</w:t>
      </w:r>
      <w:r w:rsidR="00E32F59" w:rsidRPr="00502ECB">
        <w:rPr>
          <w:b/>
          <w:bCs/>
          <w:color w:val="000000" w:themeColor="text1"/>
          <w:lang w:val="en-US"/>
        </w:rPr>
        <w:t xml:space="preserve"> on</w:t>
      </w:r>
      <w:r w:rsidR="00D65568" w:rsidRPr="00502ECB">
        <w:rPr>
          <w:b/>
          <w:bCs/>
          <w:color w:val="000000" w:themeColor="text1"/>
          <w:lang w:val="en-US"/>
        </w:rPr>
        <w:t xml:space="preserve"> living independently and being included in the community, to improve </w:t>
      </w:r>
      <w:r w:rsidR="00A54FE0" w:rsidRPr="00502ECB">
        <w:rPr>
          <w:b/>
          <w:bCs/>
          <w:color w:val="000000" w:themeColor="text1"/>
          <w:lang w:val="en-US"/>
        </w:rPr>
        <w:t>living conditions</w:t>
      </w:r>
      <w:r w:rsidR="00D65568" w:rsidRPr="00502ECB">
        <w:rPr>
          <w:b/>
          <w:bCs/>
          <w:color w:val="000000" w:themeColor="text1"/>
          <w:lang w:val="en-US"/>
        </w:rPr>
        <w:t xml:space="preserve"> and the right of persons with disabilities to access housing</w:t>
      </w:r>
      <w:r w:rsidR="00E32F59" w:rsidRPr="00502ECB">
        <w:rPr>
          <w:b/>
          <w:bCs/>
          <w:color w:val="000000" w:themeColor="text1"/>
          <w:lang w:val="en-US"/>
        </w:rPr>
        <w:t xml:space="preserve"> that</w:t>
      </w:r>
      <w:r w:rsidR="007C1E15" w:rsidRPr="00502ECB">
        <w:rPr>
          <w:b/>
          <w:bCs/>
          <w:color w:val="000000" w:themeColor="text1"/>
          <w:lang w:val="en-US"/>
        </w:rPr>
        <w:t xml:space="preserve"> </w:t>
      </w:r>
      <w:r w:rsidR="00D65568" w:rsidRPr="00502ECB">
        <w:rPr>
          <w:b/>
          <w:bCs/>
          <w:color w:val="000000" w:themeColor="text1"/>
          <w:lang w:val="en-US"/>
        </w:rPr>
        <w:t>is affordable and</w:t>
      </w:r>
      <w:r w:rsidR="00E32F59" w:rsidRPr="00502ECB">
        <w:rPr>
          <w:b/>
          <w:bCs/>
          <w:color w:val="000000" w:themeColor="text1"/>
          <w:lang w:val="en-US"/>
        </w:rPr>
        <w:t xml:space="preserve"> located</w:t>
      </w:r>
      <w:r w:rsidR="00D65568" w:rsidRPr="00502ECB">
        <w:rPr>
          <w:b/>
          <w:bCs/>
          <w:color w:val="000000" w:themeColor="text1"/>
          <w:lang w:val="en-US"/>
        </w:rPr>
        <w:t xml:space="preserve"> in the community. </w:t>
      </w:r>
    </w:p>
    <w:p w14:paraId="5D638DB0" w14:textId="77777777" w:rsidR="007D08D2" w:rsidRPr="00502ECB" w:rsidRDefault="007D08D2" w:rsidP="007D08D2">
      <w:pPr>
        <w:pStyle w:val="H23G"/>
        <w:outlineLvl w:val="2"/>
      </w:pPr>
      <w:r w:rsidRPr="00502ECB">
        <w:tab/>
      </w:r>
      <w:r w:rsidRPr="00502ECB">
        <w:tab/>
        <w:t>Participation in political and public life (art. 29)</w:t>
      </w:r>
    </w:p>
    <w:p w14:paraId="4F3F90AC" w14:textId="05872E1E" w:rsidR="007D08D2" w:rsidRPr="00502ECB" w:rsidRDefault="007D08D2" w:rsidP="007D08D2">
      <w:pPr>
        <w:pStyle w:val="SingleTxtG"/>
      </w:pPr>
      <w:r w:rsidRPr="00502ECB">
        <w:t>57.</w:t>
      </w:r>
      <w:r w:rsidRPr="00502ECB">
        <w:tab/>
        <w:t xml:space="preserve">The Committee notes with concern: </w:t>
      </w:r>
    </w:p>
    <w:p w14:paraId="549DFA5D" w14:textId="286FCAD9" w:rsidR="007D08D2" w:rsidRPr="00502ECB" w:rsidRDefault="007D08D2" w:rsidP="004236DF">
      <w:pPr>
        <w:pStyle w:val="SingleTxtG"/>
        <w:ind w:firstLine="567"/>
        <w:rPr>
          <w:lang w:eastAsia="zh-CN"/>
        </w:rPr>
      </w:pPr>
      <w:r w:rsidRPr="00502ECB">
        <w:tab/>
        <w:t>(a)</w:t>
      </w:r>
      <w:r w:rsidRPr="00502ECB">
        <w:tab/>
      </w:r>
      <w:r w:rsidRPr="00502ECB">
        <w:rPr>
          <w:lang w:eastAsia="zh-CN"/>
        </w:rPr>
        <w:t xml:space="preserve">The low </w:t>
      </w:r>
      <w:r w:rsidR="0028394E" w:rsidRPr="00502ECB">
        <w:rPr>
          <w:lang w:eastAsia="zh-CN"/>
        </w:rPr>
        <w:t xml:space="preserve">voter </w:t>
      </w:r>
      <w:r w:rsidRPr="00502ECB">
        <w:rPr>
          <w:lang w:eastAsia="zh-CN"/>
        </w:rPr>
        <w:t xml:space="preserve">turnout among persons with disabilities, and its apparent decline, </w:t>
      </w:r>
      <w:r w:rsidR="00AD2EC1">
        <w:rPr>
          <w:lang w:eastAsia="zh-CN"/>
        </w:rPr>
        <w:t xml:space="preserve">the </w:t>
      </w:r>
      <w:r w:rsidRPr="00502ECB">
        <w:rPr>
          <w:lang w:eastAsia="zh-CN"/>
        </w:rPr>
        <w:t xml:space="preserve">low membership numbers of persons with disabilities in representative bodies on national and municipal </w:t>
      </w:r>
      <w:proofErr w:type="gramStart"/>
      <w:r w:rsidRPr="00502ECB">
        <w:rPr>
          <w:lang w:eastAsia="zh-CN"/>
        </w:rPr>
        <w:t>levels;</w:t>
      </w:r>
      <w:proofErr w:type="gramEnd"/>
    </w:p>
    <w:p w14:paraId="060BF265" w14:textId="745FDB9A" w:rsidR="007D08D2" w:rsidRPr="00502ECB" w:rsidRDefault="007D08D2" w:rsidP="004236DF">
      <w:pPr>
        <w:pStyle w:val="SingleTxtG"/>
        <w:ind w:firstLine="567"/>
        <w:rPr>
          <w:rFonts w:eastAsia="DengXian"/>
          <w:lang w:eastAsia="zh-CN"/>
        </w:rPr>
      </w:pPr>
      <w:r w:rsidRPr="00502ECB">
        <w:rPr>
          <w:rFonts w:eastAsia="DengXian"/>
          <w:lang w:eastAsia="zh-CN"/>
        </w:rPr>
        <w:tab/>
        <w:t>(b)</w:t>
      </w:r>
      <w:r w:rsidRPr="00502ECB">
        <w:rPr>
          <w:rFonts w:eastAsia="DengXian"/>
          <w:lang w:eastAsia="zh-CN"/>
        </w:rPr>
        <w:tab/>
      </w:r>
      <w:r w:rsidRPr="004236DF">
        <w:rPr>
          <w:lang w:eastAsia="zh-CN"/>
        </w:rPr>
        <w:t>The</w:t>
      </w:r>
      <w:r w:rsidRPr="00502ECB">
        <w:rPr>
          <w:rFonts w:eastAsia="DengXian"/>
          <w:lang w:eastAsia="zh-CN"/>
        </w:rPr>
        <w:t xml:space="preserve"> particularly low </w:t>
      </w:r>
      <w:r w:rsidR="0028394E" w:rsidRPr="00502ECB">
        <w:rPr>
          <w:rFonts w:eastAsia="DengXian"/>
          <w:lang w:eastAsia="zh-CN"/>
        </w:rPr>
        <w:t xml:space="preserve">number </w:t>
      </w:r>
      <w:r w:rsidRPr="00502ECB">
        <w:rPr>
          <w:rFonts w:eastAsia="DengXian"/>
          <w:lang w:eastAsia="zh-CN"/>
        </w:rPr>
        <w:t xml:space="preserve">of women with disabilities in representative bodies and in organizations of persons with </w:t>
      </w:r>
      <w:proofErr w:type="gramStart"/>
      <w:r w:rsidRPr="00502ECB">
        <w:rPr>
          <w:rFonts w:eastAsia="DengXian"/>
          <w:lang w:eastAsia="zh-CN"/>
        </w:rPr>
        <w:t>disabilities;</w:t>
      </w:r>
      <w:proofErr w:type="gramEnd"/>
    </w:p>
    <w:p w14:paraId="3507A2E8" w14:textId="5603B9C1" w:rsidR="007D08D2" w:rsidRPr="00502ECB" w:rsidRDefault="007D08D2" w:rsidP="004236DF">
      <w:pPr>
        <w:pStyle w:val="SingleTxtG"/>
        <w:ind w:firstLine="567"/>
        <w:rPr>
          <w:rFonts w:eastAsia="DengXian"/>
          <w:lang w:eastAsia="zh-CN"/>
        </w:rPr>
      </w:pPr>
      <w:r w:rsidRPr="00502ECB">
        <w:rPr>
          <w:rFonts w:eastAsia="DengXian"/>
          <w:lang w:eastAsia="zh-CN"/>
        </w:rPr>
        <w:tab/>
        <w:t>(c)</w:t>
      </w:r>
      <w:r w:rsidRPr="00502ECB">
        <w:rPr>
          <w:rFonts w:eastAsia="DengXian"/>
          <w:lang w:eastAsia="zh-CN"/>
        </w:rPr>
        <w:tab/>
        <w:t>Information about insufficient accessibility of voting material and polling stations</w:t>
      </w:r>
      <w:r w:rsidR="005D0BC6">
        <w:rPr>
          <w:rFonts w:eastAsia="DengXian"/>
          <w:lang w:eastAsia="zh-CN"/>
        </w:rPr>
        <w:t>.</w:t>
      </w:r>
    </w:p>
    <w:p w14:paraId="42A04509" w14:textId="7BDF174C" w:rsidR="007D08D2" w:rsidRPr="00502ECB" w:rsidRDefault="007D08D2" w:rsidP="007D08D2">
      <w:pPr>
        <w:pStyle w:val="SingleTxtG"/>
        <w:rPr>
          <w:color w:val="000000" w:themeColor="text1"/>
        </w:rPr>
      </w:pPr>
      <w:r w:rsidRPr="00502ECB">
        <w:rPr>
          <w:color w:val="000000" w:themeColor="text1"/>
        </w:rPr>
        <w:t>58.</w:t>
      </w:r>
      <w:r w:rsidRPr="00502ECB">
        <w:rPr>
          <w:color w:val="000000" w:themeColor="text1"/>
        </w:rPr>
        <w:tab/>
      </w:r>
      <w:r w:rsidRPr="00502ECB">
        <w:rPr>
          <w:b/>
          <w:color w:val="000000" w:themeColor="text1"/>
        </w:rPr>
        <w:t>The Committee recommends that the State party:</w:t>
      </w:r>
    </w:p>
    <w:p w14:paraId="19853919" w14:textId="0E1DAE41" w:rsidR="007D08D2" w:rsidRPr="004236DF" w:rsidRDefault="007D08D2" w:rsidP="004236DF">
      <w:pPr>
        <w:pStyle w:val="SingleTxtG"/>
        <w:ind w:firstLine="567"/>
        <w:rPr>
          <w:b/>
          <w:color w:val="000000" w:themeColor="text1"/>
        </w:rPr>
      </w:pPr>
      <w:r w:rsidRPr="004236DF">
        <w:rPr>
          <w:b/>
          <w:color w:val="000000" w:themeColor="text1"/>
        </w:rPr>
        <w:tab/>
      </w:r>
      <w:r w:rsidRPr="004236DF">
        <w:rPr>
          <w:b/>
          <w:bCs/>
          <w:color w:val="000000" w:themeColor="text1"/>
        </w:rPr>
        <w:t>(a)</w:t>
      </w:r>
      <w:r w:rsidRPr="004236DF">
        <w:rPr>
          <w:b/>
          <w:color w:val="000000" w:themeColor="text1"/>
        </w:rPr>
        <w:tab/>
      </w:r>
      <w:r w:rsidRPr="004236DF">
        <w:rPr>
          <w:rFonts w:eastAsia="Malgun Gothic"/>
          <w:b/>
          <w:bCs/>
        </w:rPr>
        <w:t xml:space="preserve">Appoint persons with disabilities, including women with disabilities and young persons with disabilities who represent organizations of persons with disabilities, as full and equal members of the Standing </w:t>
      </w:r>
      <w:r w:rsidR="0028394E" w:rsidRPr="004236DF">
        <w:rPr>
          <w:rFonts w:eastAsia="Malgun Gothic"/>
          <w:b/>
          <w:bCs/>
        </w:rPr>
        <w:t xml:space="preserve">working </w:t>
      </w:r>
      <w:r w:rsidRPr="004236DF">
        <w:rPr>
          <w:rFonts w:eastAsia="Malgun Gothic"/>
          <w:b/>
          <w:bCs/>
        </w:rPr>
        <w:t xml:space="preserve">group on Persons with Disabilities at the Central Election Commission of </w:t>
      </w:r>
      <w:proofErr w:type="gramStart"/>
      <w:r w:rsidRPr="004236DF">
        <w:rPr>
          <w:rFonts w:eastAsia="Malgun Gothic"/>
          <w:b/>
          <w:bCs/>
        </w:rPr>
        <w:t>Georgia;</w:t>
      </w:r>
      <w:proofErr w:type="gramEnd"/>
    </w:p>
    <w:p w14:paraId="26EC2ADB" w14:textId="2B3A79D7" w:rsidR="007D08D2" w:rsidRPr="004236DF" w:rsidRDefault="007D08D2" w:rsidP="004236DF">
      <w:pPr>
        <w:pStyle w:val="SingleTxtG"/>
        <w:ind w:firstLine="567"/>
        <w:rPr>
          <w:b/>
          <w:color w:val="000000" w:themeColor="text1"/>
        </w:rPr>
      </w:pPr>
      <w:r w:rsidRPr="004236DF">
        <w:rPr>
          <w:b/>
          <w:color w:val="000000" w:themeColor="text1"/>
        </w:rPr>
        <w:tab/>
      </w:r>
      <w:r w:rsidRPr="004236DF">
        <w:rPr>
          <w:b/>
          <w:bCs/>
          <w:color w:val="000000" w:themeColor="text1"/>
        </w:rPr>
        <w:t>(b)</w:t>
      </w:r>
      <w:r w:rsidRPr="004236DF">
        <w:rPr>
          <w:b/>
          <w:color w:val="4F81BD" w:themeColor="accent1"/>
        </w:rPr>
        <w:tab/>
      </w:r>
      <w:r w:rsidRPr="004236DF">
        <w:rPr>
          <w:b/>
        </w:rPr>
        <w:t xml:space="preserve">Strengthen measures to </w:t>
      </w:r>
      <w:r w:rsidR="0028394E" w:rsidRPr="004236DF">
        <w:rPr>
          <w:b/>
        </w:rPr>
        <w:t>establish</w:t>
      </w:r>
      <w:r w:rsidRPr="004236DF">
        <w:rPr>
          <w:b/>
        </w:rPr>
        <w:t xml:space="preserve"> </w:t>
      </w:r>
      <w:r w:rsidR="0028394E" w:rsidRPr="004236DF">
        <w:rPr>
          <w:b/>
        </w:rPr>
        <w:t xml:space="preserve">representative </w:t>
      </w:r>
      <w:r w:rsidRPr="004236DF">
        <w:rPr>
          <w:b/>
          <w:color w:val="000000" w:themeColor="text1"/>
        </w:rPr>
        <w:t xml:space="preserve">local councils </w:t>
      </w:r>
      <w:r w:rsidR="0028394E" w:rsidRPr="004236DF">
        <w:rPr>
          <w:b/>
          <w:color w:val="000000" w:themeColor="text1"/>
        </w:rPr>
        <w:t>for</w:t>
      </w:r>
      <w:r w:rsidRPr="004236DF">
        <w:rPr>
          <w:b/>
          <w:color w:val="000000" w:themeColor="text1"/>
        </w:rPr>
        <w:t xml:space="preserve"> issues </w:t>
      </w:r>
      <w:r w:rsidR="0028394E" w:rsidRPr="004236DF">
        <w:rPr>
          <w:rFonts w:eastAsia="Malgun Gothic"/>
          <w:b/>
          <w:bCs/>
        </w:rPr>
        <w:t>relating</w:t>
      </w:r>
      <w:r w:rsidR="0028394E" w:rsidRPr="004236DF">
        <w:rPr>
          <w:b/>
          <w:color w:val="000000" w:themeColor="text1"/>
        </w:rPr>
        <w:t xml:space="preserve"> to </w:t>
      </w:r>
      <w:r w:rsidRPr="004236DF">
        <w:rPr>
          <w:b/>
          <w:color w:val="000000" w:themeColor="text1"/>
        </w:rPr>
        <w:t xml:space="preserve">persons with disabilities in local self-governing units in all municipalities, providing them with the appropriate human, technical and financial </w:t>
      </w:r>
      <w:proofErr w:type="gramStart"/>
      <w:r w:rsidRPr="004236DF">
        <w:rPr>
          <w:b/>
          <w:color w:val="000000" w:themeColor="text1"/>
        </w:rPr>
        <w:t>resources;</w:t>
      </w:r>
      <w:proofErr w:type="gramEnd"/>
      <w:r w:rsidRPr="004236DF">
        <w:rPr>
          <w:b/>
          <w:color w:val="000000" w:themeColor="text1"/>
        </w:rPr>
        <w:t xml:space="preserve"> </w:t>
      </w:r>
    </w:p>
    <w:p w14:paraId="4D34E4EE" w14:textId="317EEC77" w:rsidR="007D08D2" w:rsidRPr="004236DF" w:rsidRDefault="007D08D2" w:rsidP="004236DF">
      <w:pPr>
        <w:pStyle w:val="SingleTxtG"/>
        <w:ind w:firstLine="567"/>
        <w:rPr>
          <w:b/>
          <w:color w:val="000000" w:themeColor="text1"/>
        </w:rPr>
      </w:pPr>
      <w:r w:rsidRPr="004236DF">
        <w:rPr>
          <w:rFonts w:eastAsia="Malgun Gothic"/>
          <w:b/>
          <w:bCs/>
        </w:rPr>
        <w:tab/>
      </w:r>
      <w:r w:rsidRPr="004236DF">
        <w:rPr>
          <w:rFonts w:eastAsia="Malgun Gothic"/>
          <w:b/>
        </w:rPr>
        <w:t>(c)</w:t>
      </w:r>
      <w:r w:rsidRPr="004236DF">
        <w:rPr>
          <w:rFonts w:eastAsia="Malgun Gothic"/>
          <w:b/>
          <w:bCs/>
        </w:rPr>
        <w:tab/>
      </w:r>
      <w:r w:rsidRPr="004236DF">
        <w:rPr>
          <w:b/>
          <w:color w:val="000000" w:themeColor="text1"/>
        </w:rPr>
        <w:t>Promote the participation of persons with disabilities, particularly women with disabilities, in political life and in public administration; facilitate an environment for them to hold public office and perform all public functions at all levels of government by</w:t>
      </w:r>
      <w:r w:rsidR="00005EE5" w:rsidRPr="004236DF">
        <w:rPr>
          <w:b/>
          <w:color w:val="000000" w:themeColor="text1"/>
        </w:rPr>
        <w:t>, inter alia,</w:t>
      </w:r>
      <w:r w:rsidRPr="004236DF">
        <w:rPr>
          <w:b/>
          <w:color w:val="000000" w:themeColor="text1"/>
        </w:rPr>
        <w:t xml:space="preserve"> </w:t>
      </w:r>
      <w:r w:rsidR="00005EE5" w:rsidRPr="004236DF">
        <w:rPr>
          <w:b/>
          <w:color w:val="000000" w:themeColor="text1"/>
        </w:rPr>
        <w:t>providing</w:t>
      </w:r>
      <w:r w:rsidRPr="004236DF">
        <w:rPr>
          <w:b/>
          <w:color w:val="000000" w:themeColor="text1"/>
        </w:rPr>
        <w:t xml:space="preserve"> assistive </w:t>
      </w:r>
      <w:r w:rsidR="00005EE5" w:rsidRPr="004236DF">
        <w:rPr>
          <w:b/>
          <w:color w:val="000000" w:themeColor="text1"/>
        </w:rPr>
        <w:t xml:space="preserve">devices </w:t>
      </w:r>
      <w:r w:rsidRPr="004236DF">
        <w:rPr>
          <w:b/>
          <w:color w:val="000000" w:themeColor="text1"/>
        </w:rPr>
        <w:t xml:space="preserve">and personal </w:t>
      </w:r>
      <w:proofErr w:type="gramStart"/>
      <w:r w:rsidRPr="004236DF">
        <w:rPr>
          <w:b/>
          <w:color w:val="000000" w:themeColor="text1"/>
        </w:rPr>
        <w:t>assistance;</w:t>
      </w:r>
      <w:proofErr w:type="gramEnd"/>
      <w:r w:rsidRPr="004236DF">
        <w:rPr>
          <w:b/>
          <w:color w:val="000000" w:themeColor="text1"/>
        </w:rPr>
        <w:t xml:space="preserve"> </w:t>
      </w:r>
    </w:p>
    <w:p w14:paraId="013F6258" w14:textId="6260058E" w:rsidR="007D08D2" w:rsidRPr="00502ECB" w:rsidRDefault="007D08D2" w:rsidP="004236DF">
      <w:pPr>
        <w:pStyle w:val="SingleTxtG"/>
        <w:ind w:firstLine="567"/>
        <w:rPr>
          <w:bCs/>
          <w:color w:val="000000" w:themeColor="text1"/>
        </w:rPr>
      </w:pPr>
      <w:r w:rsidRPr="004236DF">
        <w:rPr>
          <w:b/>
          <w:bCs/>
          <w:color w:val="000000" w:themeColor="text1"/>
        </w:rPr>
        <w:tab/>
        <w:t>(d)</w:t>
      </w:r>
      <w:r w:rsidRPr="004236DF">
        <w:rPr>
          <w:b/>
          <w:bCs/>
          <w:color w:val="000000" w:themeColor="text1"/>
        </w:rPr>
        <w:tab/>
      </w:r>
      <w:r w:rsidR="00005EE5" w:rsidRPr="00502ECB">
        <w:rPr>
          <w:b/>
          <w:bCs/>
        </w:rPr>
        <w:t>Ensure accessibility of</w:t>
      </w:r>
      <w:r w:rsidR="00624A80" w:rsidRPr="00502ECB">
        <w:rPr>
          <w:b/>
          <w:bCs/>
        </w:rPr>
        <w:t xml:space="preserve"> </w:t>
      </w:r>
      <w:r w:rsidR="00005EE5" w:rsidRPr="00502ECB">
        <w:rPr>
          <w:b/>
          <w:bCs/>
        </w:rPr>
        <w:t xml:space="preserve">voting facilities and voting material, </w:t>
      </w:r>
      <w:proofErr w:type="spellStart"/>
      <w:r w:rsidR="00005EE5" w:rsidRPr="00502ECB">
        <w:rPr>
          <w:b/>
          <w:bCs/>
        </w:rPr>
        <w:t>through</w:t>
      </w:r>
      <w:proofErr w:type="spellEnd"/>
      <w:r w:rsidR="00005EE5" w:rsidRPr="00502ECB">
        <w:rPr>
          <w:b/>
          <w:bCs/>
        </w:rPr>
        <w:t xml:space="preserve">, among </w:t>
      </w:r>
      <w:r w:rsidR="00005EE5" w:rsidRPr="004236DF">
        <w:rPr>
          <w:b/>
          <w:color w:val="000000" w:themeColor="text1"/>
        </w:rPr>
        <w:t>others</w:t>
      </w:r>
      <w:r w:rsidR="00005EE5" w:rsidRPr="00502ECB">
        <w:rPr>
          <w:b/>
          <w:bCs/>
        </w:rPr>
        <w:t>, the provision of Easy Read, Braille, and other accessible formats</w:t>
      </w:r>
      <w:r w:rsidR="005D0BC6">
        <w:rPr>
          <w:b/>
          <w:bCs/>
        </w:rPr>
        <w:t>.</w:t>
      </w:r>
    </w:p>
    <w:p w14:paraId="05A98765" w14:textId="0A5442B6" w:rsidR="00D8547E" w:rsidRPr="00502ECB" w:rsidRDefault="004236DF" w:rsidP="004236DF">
      <w:pPr>
        <w:pStyle w:val="H23G"/>
      </w:pPr>
      <w:r>
        <w:tab/>
      </w:r>
      <w:r>
        <w:tab/>
      </w:r>
      <w:r w:rsidR="00D8547E" w:rsidRPr="00502ECB">
        <w:t xml:space="preserve">Participation in cultural life, recreation, </w:t>
      </w:r>
      <w:proofErr w:type="gramStart"/>
      <w:r w:rsidR="00D8547E" w:rsidRPr="00502ECB">
        <w:t>leisure</w:t>
      </w:r>
      <w:proofErr w:type="gramEnd"/>
      <w:r w:rsidR="00D8547E" w:rsidRPr="00502ECB">
        <w:t xml:space="preserve"> and sport (art. 30)</w:t>
      </w:r>
    </w:p>
    <w:p w14:paraId="53BBD999" w14:textId="1F83BB3D" w:rsidR="00D8547E" w:rsidRPr="00502ECB" w:rsidRDefault="00D8547E" w:rsidP="004236DF">
      <w:pPr>
        <w:pStyle w:val="SingleTxtG"/>
      </w:pPr>
      <w:r w:rsidRPr="00502ECB">
        <w:t>59.</w:t>
      </w:r>
      <w:r w:rsidRPr="00502ECB">
        <w:tab/>
        <w:t xml:space="preserve">The Committee is concerned about: </w:t>
      </w:r>
    </w:p>
    <w:p w14:paraId="6897AD5A" w14:textId="2353FF7B" w:rsidR="00D8547E" w:rsidRPr="00502ECB" w:rsidRDefault="00D8547E" w:rsidP="004236DF">
      <w:pPr>
        <w:pStyle w:val="SingleTxtG"/>
        <w:ind w:firstLine="567"/>
      </w:pPr>
      <w:r w:rsidRPr="00502ECB">
        <w:tab/>
        <w:t>(a)</w:t>
      </w:r>
      <w:r w:rsidRPr="00502ECB">
        <w:tab/>
        <w:t xml:space="preserve">The State party not yet </w:t>
      </w:r>
      <w:r w:rsidR="00005EE5" w:rsidRPr="00502ECB">
        <w:t xml:space="preserve">having </w:t>
      </w:r>
      <w:r w:rsidRPr="00502ECB">
        <w:t xml:space="preserve">ratified the Marrakesh Treaty to Facilitate Access to Published Works for Persons Who Are Blind, Visually Impaired or Otherwise Print </w:t>
      </w:r>
      <w:proofErr w:type="gramStart"/>
      <w:r w:rsidRPr="00502ECB">
        <w:t>Disabled</w:t>
      </w:r>
      <w:r w:rsidR="00005EE5" w:rsidRPr="00502ECB">
        <w:t>;</w:t>
      </w:r>
      <w:proofErr w:type="gramEnd"/>
    </w:p>
    <w:p w14:paraId="1DE24FAE" w14:textId="5A482CD1" w:rsidR="00D8547E" w:rsidRPr="00502ECB" w:rsidRDefault="00D8547E" w:rsidP="004236DF">
      <w:pPr>
        <w:pStyle w:val="SingleTxtG"/>
        <w:ind w:firstLine="567"/>
      </w:pPr>
      <w:r w:rsidRPr="00502ECB">
        <w:tab/>
        <w:t>(b)</w:t>
      </w:r>
      <w:r w:rsidRPr="00502ECB">
        <w:tab/>
        <w:t>Persons with disabilities facing barriers to access tourism venues</w:t>
      </w:r>
      <w:r w:rsidR="008162D9" w:rsidRPr="00502ECB">
        <w:t xml:space="preserve">, including </w:t>
      </w:r>
      <w:r w:rsidRPr="00502ECB">
        <w:t xml:space="preserve">cultural monuments, taking part in cultural </w:t>
      </w:r>
      <w:proofErr w:type="gramStart"/>
      <w:r w:rsidRPr="00502ECB">
        <w:t>life</w:t>
      </w:r>
      <w:proofErr w:type="gramEnd"/>
      <w:r w:rsidRPr="00502ECB">
        <w:t xml:space="preserve"> and participating in sporting events</w:t>
      </w:r>
      <w:r w:rsidR="008162D9" w:rsidRPr="00502ECB">
        <w:t xml:space="preserve">, and the absence of measures </w:t>
      </w:r>
      <w:r w:rsidR="00D63547" w:rsidRPr="00502ECB">
        <w:t>for persons with disabilities</w:t>
      </w:r>
      <w:r w:rsidR="008162D9" w:rsidRPr="00502ECB">
        <w:t xml:space="preserve"> to participat</w:t>
      </w:r>
      <w:r w:rsidR="00D63547" w:rsidRPr="00502ECB">
        <w:t>e</w:t>
      </w:r>
      <w:r w:rsidR="008162D9" w:rsidRPr="00502ECB">
        <w:t xml:space="preserve"> in cultural life, recreation, leisure and sport, in the </w:t>
      </w:r>
      <w:r w:rsidRPr="00502ECB">
        <w:t>long-term human</w:t>
      </w:r>
      <w:r w:rsidR="00D63547" w:rsidRPr="00502ECB">
        <w:t xml:space="preserve"> </w:t>
      </w:r>
      <w:r w:rsidRPr="00502ECB">
        <w:t>rights strategy (2022-2030)</w:t>
      </w:r>
      <w:r w:rsidR="00E41635">
        <w:t>.</w:t>
      </w:r>
      <w:r w:rsidRPr="00502ECB">
        <w:t xml:space="preserve"> </w:t>
      </w:r>
    </w:p>
    <w:p w14:paraId="0E1794F7" w14:textId="53CD69AE" w:rsidR="00D8547E" w:rsidRPr="00502ECB" w:rsidRDefault="00D8547E" w:rsidP="004236DF">
      <w:pPr>
        <w:pStyle w:val="SingleTxtG"/>
      </w:pPr>
      <w:r w:rsidRPr="00502ECB">
        <w:t>60.</w:t>
      </w:r>
      <w:r w:rsidRPr="00502ECB">
        <w:tab/>
      </w:r>
      <w:r w:rsidRPr="004236DF">
        <w:rPr>
          <w:b/>
        </w:rPr>
        <w:t>The Committee recommends that the State party:</w:t>
      </w:r>
      <w:r w:rsidRPr="00502ECB">
        <w:t xml:space="preserve"> </w:t>
      </w:r>
    </w:p>
    <w:p w14:paraId="39BA7789" w14:textId="156D7DFA" w:rsidR="00D8547E" w:rsidRPr="004236DF" w:rsidRDefault="00D8547E" w:rsidP="004236DF">
      <w:pPr>
        <w:pStyle w:val="SingleTxtG"/>
        <w:ind w:firstLine="567"/>
        <w:rPr>
          <w:b/>
        </w:rPr>
      </w:pPr>
      <w:r w:rsidRPr="004236DF">
        <w:rPr>
          <w:b/>
        </w:rPr>
        <w:tab/>
        <w:t>(a)</w:t>
      </w:r>
      <w:r w:rsidRPr="004236DF">
        <w:rPr>
          <w:b/>
        </w:rPr>
        <w:tab/>
        <w:t xml:space="preserve">Ratify and implement the Marrakesh Treaty to Facilitate Access to Published Works for Persons Who Are Blind, Visually Impaired or Otherwise Print </w:t>
      </w:r>
      <w:proofErr w:type="gramStart"/>
      <w:r w:rsidRPr="004236DF">
        <w:rPr>
          <w:b/>
        </w:rPr>
        <w:t>Disabled;</w:t>
      </w:r>
      <w:proofErr w:type="gramEnd"/>
    </w:p>
    <w:p w14:paraId="5A488565" w14:textId="0BF0A56F" w:rsidR="0089148B" w:rsidRPr="004236DF" w:rsidRDefault="00D8547E" w:rsidP="004236DF">
      <w:pPr>
        <w:pStyle w:val="SingleTxtG"/>
        <w:ind w:firstLine="567"/>
        <w:rPr>
          <w:b/>
        </w:rPr>
      </w:pPr>
      <w:r w:rsidRPr="004236DF">
        <w:rPr>
          <w:b/>
        </w:rPr>
        <w:tab/>
        <w:t>(b)</w:t>
      </w:r>
      <w:r w:rsidRPr="004236DF">
        <w:rPr>
          <w:b/>
        </w:rPr>
        <w:tab/>
      </w:r>
      <w:r w:rsidR="0089148B" w:rsidRPr="004236DF">
        <w:rPr>
          <w:b/>
        </w:rPr>
        <w:t>Strengthen mechanisms to ensure sporting, recreational, cultural and tourism venues are accessible for persons with disabilities</w:t>
      </w:r>
      <w:r w:rsidR="00D63547" w:rsidRPr="004236DF">
        <w:rPr>
          <w:b/>
        </w:rPr>
        <w:t>,</w:t>
      </w:r>
      <w:r w:rsidR="0089148B" w:rsidRPr="004236DF">
        <w:rPr>
          <w:b/>
        </w:rPr>
        <w:t xml:space="preserve"> particularly outside of </w:t>
      </w:r>
      <w:r w:rsidR="00D63547" w:rsidRPr="004236DF">
        <w:rPr>
          <w:b/>
        </w:rPr>
        <w:t xml:space="preserve">the </w:t>
      </w:r>
      <w:r w:rsidR="00D63547" w:rsidRPr="004236DF">
        <w:rPr>
          <w:b/>
        </w:rPr>
        <w:lastRenderedPageBreak/>
        <w:t xml:space="preserve">capital </w:t>
      </w:r>
      <w:r w:rsidR="0089148B" w:rsidRPr="004236DF">
        <w:rPr>
          <w:b/>
        </w:rPr>
        <w:t xml:space="preserve">Tbilisi, </w:t>
      </w:r>
      <w:r w:rsidR="00D63547" w:rsidRPr="004236DF">
        <w:rPr>
          <w:b/>
        </w:rPr>
        <w:t>assess</w:t>
      </w:r>
      <w:r w:rsidR="0089148B" w:rsidRPr="004236DF">
        <w:rPr>
          <w:b/>
        </w:rPr>
        <w:t xml:space="preserve"> accessibility barriers</w:t>
      </w:r>
      <w:r w:rsidR="00D63547" w:rsidRPr="004236DF">
        <w:rPr>
          <w:b/>
        </w:rPr>
        <w:t>,</w:t>
      </w:r>
      <w:r w:rsidR="0089148B" w:rsidRPr="004236DF">
        <w:rPr>
          <w:b/>
        </w:rPr>
        <w:t xml:space="preserve"> and </w:t>
      </w:r>
      <w:r w:rsidR="00D63547" w:rsidRPr="004236DF">
        <w:rPr>
          <w:b/>
        </w:rPr>
        <w:t xml:space="preserve">closely consult </w:t>
      </w:r>
      <w:r w:rsidR="0089148B" w:rsidRPr="004236DF">
        <w:rPr>
          <w:b/>
        </w:rPr>
        <w:t xml:space="preserve">organizations of persons with disabilities in </w:t>
      </w:r>
      <w:r w:rsidR="00D63547" w:rsidRPr="004236DF">
        <w:rPr>
          <w:b/>
        </w:rPr>
        <w:t xml:space="preserve">the development of </w:t>
      </w:r>
      <w:r w:rsidR="0089148B" w:rsidRPr="004236DF">
        <w:rPr>
          <w:b/>
        </w:rPr>
        <w:t xml:space="preserve">mechanisms to </w:t>
      </w:r>
      <w:r w:rsidR="00D63547" w:rsidRPr="004236DF">
        <w:rPr>
          <w:b/>
        </w:rPr>
        <w:t xml:space="preserve">remedy </w:t>
      </w:r>
      <w:r w:rsidR="0089148B" w:rsidRPr="004236DF">
        <w:rPr>
          <w:b/>
        </w:rPr>
        <w:t xml:space="preserve">accessibility </w:t>
      </w:r>
      <w:proofErr w:type="gramStart"/>
      <w:r w:rsidR="0089148B" w:rsidRPr="004236DF">
        <w:rPr>
          <w:b/>
        </w:rPr>
        <w:t>barriers;</w:t>
      </w:r>
      <w:proofErr w:type="gramEnd"/>
    </w:p>
    <w:p w14:paraId="1E23546D" w14:textId="21D08C6D" w:rsidR="00D8547E" w:rsidRPr="004236DF" w:rsidRDefault="0089148B" w:rsidP="004236DF">
      <w:pPr>
        <w:pStyle w:val="SingleTxtG"/>
        <w:ind w:firstLine="567"/>
        <w:rPr>
          <w:b/>
        </w:rPr>
      </w:pPr>
      <w:r w:rsidRPr="004236DF">
        <w:rPr>
          <w:b/>
        </w:rPr>
        <w:t>(c)</w:t>
      </w:r>
      <w:r w:rsidRPr="004236DF">
        <w:rPr>
          <w:b/>
        </w:rPr>
        <w:tab/>
      </w:r>
      <w:r w:rsidR="00D8547E" w:rsidRPr="004236DF">
        <w:rPr>
          <w:b/>
        </w:rPr>
        <w:t>Include the right of persons with disabilities to participate on an equal basis with others in recreational, leisure and sporting activities, in the long-term human rights strategy (2022-203</w:t>
      </w:r>
      <w:r w:rsidR="000F73B9" w:rsidRPr="004236DF">
        <w:rPr>
          <w:b/>
        </w:rPr>
        <w:t>0</w:t>
      </w:r>
      <w:r w:rsidR="00D8547E" w:rsidRPr="004236DF">
        <w:rPr>
          <w:b/>
        </w:rPr>
        <w:t>) and its subsequent strategies</w:t>
      </w:r>
      <w:r w:rsidR="008162D9" w:rsidRPr="004236DF">
        <w:rPr>
          <w:b/>
        </w:rPr>
        <w:t>, policies and programmes</w:t>
      </w:r>
      <w:r w:rsidRPr="004236DF">
        <w:rPr>
          <w:b/>
        </w:rPr>
        <w:t xml:space="preserve">. </w:t>
      </w:r>
      <w:r w:rsidR="00D8547E" w:rsidRPr="004236DF">
        <w:rPr>
          <w:b/>
        </w:rPr>
        <w:t xml:space="preserve"> </w:t>
      </w:r>
    </w:p>
    <w:p w14:paraId="002AE3DC" w14:textId="15914BD4" w:rsidR="00D65568" w:rsidRPr="00502ECB" w:rsidRDefault="00D65568" w:rsidP="004236DF">
      <w:pPr>
        <w:pStyle w:val="H1G"/>
      </w:pPr>
      <w:r w:rsidRPr="00502ECB">
        <w:tab/>
      </w:r>
      <w:r w:rsidR="004236DF">
        <w:t>C.</w:t>
      </w:r>
      <w:r w:rsidRPr="00502ECB">
        <w:tab/>
      </w:r>
      <w:r w:rsidRPr="00502ECB">
        <w:tab/>
        <w:t>Specific obligations (arts. 31–33)</w:t>
      </w:r>
    </w:p>
    <w:p w14:paraId="5D5F7DF1" w14:textId="05389C13" w:rsidR="00644B8F" w:rsidRPr="00502ECB" w:rsidRDefault="00644B8F" w:rsidP="004236DF">
      <w:pPr>
        <w:pStyle w:val="H23G"/>
      </w:pPr>
      <w:r w:rsidRPr="00502ECB">
        <w:tab/>
      </w:r>
      <w:r w:rsidRPr="00502ECB">
        <w:tab/>
        <w:t>Statistics and data collection (art. 31)</w:t>
      </w:r>
    </w:p>
    <w:p w14:paraId="336F6E67" w14:textId="25791E07" w:rsidR="00644B8F" w:rsidRPr="00502ECB" w:rsidRDefault="00644B8F" w:rsidP="00644B8F">
      <w:pPr>
        <w:pStyle w:val="SingleTxtG"/>
        <w:rPr>
          <w:color w:val="000000" w:themeColor="text1"/>
        </w:rPr>
      </w:pPr>
      <w:r w:rsidRPr="00502ECB">
        <w:rPr>
          <w:color w:val="000000" w:themeColor="text1"/>
        </w:rPr>
        <w:t>61.</w:t>
      </w:r>
      <w:r w:rsidRPr="00502ECB">
        <w:rPr>
          <w:color w:val="000000" w:themeColor="text1"/>
        </w:rPr>
        <w:tab/>
        <w:t>The Committee expresses concern about the lack of:</w:t>
      </w:r>
    </w:p>
    <w:p w14:paraId="54EB35D1" w14:textId="206E0B20" w:rsidR="00644B8F" w:rsidRPr="00502ECB" w:rsidRDefault="00644B8F" w:rsidP="004236DF">
      <w:pPr>
        <w:pStyle w:val="SingleTxtG"/>
        <w:ind w:firstLine="567"/>
      </w:pPr>
      <w:r w:rsidRPr="00502ECB">
        <w:rPr>
          <w:color w:val="000000" w:themeColor="text1"/>
        </w:rPr>
        <w:tab/>
        <w:t>(a)</w:t>
      </w:r>
      <w:r w:rsidRPr="00502ECB">
        <w:rPr>
          <w:color w:val="000000" w:themeColor="text1"/>
        </w:rPr>
        <w:tab/>
      </w:r>
      <w:r w:rsidRPr="00502ECB">
        <w:rPr>
          <w:rFonts w:eastAsia="DengXian"/>
          <w:lang w:eastAsia="zh-CN"/>
        </w:rPr>
        <w:t>D</w:t>
      </w:r>
      <w:r w:rsidRPr="00502ECB">
        <w:t xml:space="preserve">isaggregated data on persons with disabilities, existing data neither reflecting the actual number of persons with disabilities nor the barriers they face in </w:t>
      </w:r>
      <w:r w:rsidR="00E665C1" w:rsidRPr="00502ECB">
        <w:t xml:space="preserve">exercising </w:t>
      </w:r>
      <w:r w:rsidRPr="00502ECB">
        <w:t xml:space="preserve">their rights. It notes with particular concern the absence of data </w:t>
      </w:r>
      <w:r w:rsidR="00E665C1" w:rsidRPr="00502ECB">
        <w:t xml:space="preserve">on </w:t>
      </w:r>
      <w:r w:rsidRPr="00502ECB">
        <w:t xml:space="preserve">older persons with </w:t>
      </w:r>
      <w:proofErr w:type="gramStart"/>
      <w:r w:rsidRPr="00502ECB">
        <w:t>disabilities;</w:t>
      </w:r>
      <w:proofErr w:type="gramEnd"/>
    </w:p>
    <w:p w14:paraId="5E7C68F1" w14:textId="2773F7F7" w:rsidR="00644B8F" w:rsidRPr="00502ECB" w:rsidRDefault="00644B8F" w:rsidP="004236DF">
      <w:pPr>
        <w:pStyle w:val="SingleTxtG"/>
        <w:ind w:firstLine="567"/>
        <w:rPr>
          <w:color w:val="4F81BD" w:themeColor="accent1"/>
          <w:lang w:val="en-US"/>
        </w:rPr>
      </w:pPr>
      <w:r w:rsidRPr="00502ECB">
        <w:rPr>
          <w:color w:val="000000" w:themeColor="text1"/>
          <w:lang w:val="en-US"/>
        </w:rPr>
        <w:tab/>
        <w:t>(b)</w:t>
      </w:r>
      <w:r w:rsidRPr="00502ECB">
        <w:rPr>
          <w:color w:val="000000" w:themeColor="text1"/>
          <w:lang w:val="en-US"/>
        </w:rPr>
        <w:tab/>
      </w:r>
      <w:r w:rsidRPr="00502ECB">
        <w:rPr>
          <w:lang w:val="en-US"/>
        </w:rPr>
        <w:t>Awareness</w:t>
      </w:r>
      <w:r w:rsidRPr="00502ECB">
        <w:t xml:space="preserve"> </w:t>
      </w:r>
      <w:r w:rsidR="00E665C1" w:rsidRPr="00502ECB">
        <w:t xml:space="preserve">and use </w:t>
      </w:r>
      <w:r w:rsidRPr="00502ECB">
        <w:t>of international guidelines and protocols on data collection regarding disability, particularly the "Washington Group on Disability Statistics" and its "Short Set of questions on Disability".</w:t>
      </w:r>
    </w:p>
    <w:p w14:paraId="65D2D378" w14:textId="6F0D9614" w:rsidR="00644B8F" w:rsidRPr="00502ECB" w:rsidRDefault="00644B8F" w:rsidP="00644B8F">
      <w:pPr>
        <w:pStyle w:val="SingleTxtG"/>
        <w:rPr>
          <w:b/>
          <w:bCs/>
        </w:rPr>
      </w:pPr>
      <w:r w:rsidRPr="00502ECB">
        <w:rPr>
          <w:color w:val="000000" w:themeColor="text1"/>
        </w:rPr>
        <w:t>62.</w:t>
      </w:r>
      <w:r w:rsidRPr="00502ECB">
        <w:rPr>
          <w:color w:val="000000" w:themeColor="text1"/>
        </w:rPr>
        <w:tab/>
      </w:r>
      <w:r w:rsidRPr="00502ECB">
        <w:rPr>
          <w:b/>
          <w:bCs/>
          <w:color w:val="000000" w:themeColor="text1"/>
        </w:rPr>
        <w:t xml:space="preserve">The Committee recommends that the State </w:t>
      </w:r>
      <w:r w:rsidRPr="00502ECB">
        <w:rPr>
          <w:b/>
          <w:bCs/>
        </w:rPr>
        <w:t>party:</w:t>
      </w:r>
    </w:p>
    <w:p w14:paraId="64078E57" w14:textId="76B57268" w:rsidR="00644B8F" w:rsidRPr="004236DF" w:rsidRDefault="00644B8F" w:rsidP="004236DF">
      <w:pPr>
        <w:pStyle w:val="SingleTxtG"/>
        <w:ind w:firstLine="567"/>
        <w:rPr>
          <w:b/>
          <w:bCs/>
        </w:rPr>
      </w:pPr>
      <w:r w:rsidRPr="004236DF">
        <w:rPr>
          <w:b/>
          <w:color w:val="000000" w:themeColor="text1"/>
        </w:rPr>
        <w:tab/>
        <w:t>(</w:t>
      </w:r>
      <w:r w:rsidRPr="004236DF">
        <w:rPr>
          <w:rFonts w:eastAsia="Malgun Gothic"/>
          <w:b/>
          <w:color w:val="000000" w:themeColor="text1"/>
        </w:rPr>
        <w:t>a)</w:t>
      </w:r>
      <w:r w:rsidRPr="004236DF">
        <w:rPr>
          <w:rFonts w:eastAsia="Malgun Gothic"/>
          <w:b/>
          <w:bCs/>
          <w:color w:val="000000" w:themeColor="text1"/>
        </w:rPr>
        <w:tab/>
      </w:r>
      <w:r w:rsidR="00E95DE8" w:rsidRPr="004236DF">
        <w:rPr>
          <w:b/>
          <w:bCs/>
          <w:color w:val="000000" w:themeColor="text1"/>
        </w:rPr>
        <w:t>Establish a</w:t>
      </w:r>
      <w:r w:rsidRPr="004236DF">
        <w:rPr>
          <w:b/>
          <w:bCs/>
        </w:rPr>
        <w:t xml:space="preserve"> mechanism to ensure </w:t>
      </w:r>
      <w:r w:rsidR="00E95DE8" w:rsidRPr="004236DF">
        <w:rPr>
          <w:b/>
          <w:bCs/>
        </w:rPr>
        <w:t>continu</w:t>
      </w:r>
      <w:r w:rsidR="00E665C1" w:rsidRPr="004236DF">
        <w:rPr>
          <w:b/>
          <w:bCs/>
        </w:rPr>
        <w:t>ous</w:t>
      </w:r>
      <w:r w:rsidR="00E95DE8" w:rsidRPr="004236DF">
        <w:rPr>
          <w:b/>
          <w:bCs/>
        </w:rPr>
        <w:t xml:space="preserve"> </w:t>
      </w:r>
      <w:r w:rsidRPr="004236DF">
        <w:rPr>
          <w:b/>
          <w:bCs/>
        </w:rPr>
        <w:t xml:space="preserve">data </w:t>
      </w:r>
      <w:r w:rsidR="00E665C1" w:rsidRPr="004236DF">
        <w:rPr>
          <w:b/>
          <w:bCs/>
        </w:rPr>
        <w:t xml:space="preserve">collection </w:t>
      </w:r>
      <w:r w:rsidRPr="004236DF">
        <w:rPr>
          <w:b/>
          <w:bCs/>
        </w:rPr>
        <w:t xml:space="preserve">about persons with disabilities and the barriers they face in </w:t>
      </w:r>
      <w:r w:rsidR="00E665C1" w:rsidRPr="004236DF">
        <w:rPr>
          <w:b/>
          <w:bCs/>
        </w:rPr>
        <w:t xml:space="preserve">exercising </w:t>
      </w:r>
      <w:r w:rsidRPr="004236DF">
        <w:rPr>
          <w:b/>
          <w:bCs/>
        </w:rPr>
        <w:t>their rights</w:t>
      </w:r>
      <w:r w:rsidR="00E665C1" w:rsidRPr="004236DF">
        <w:rPr>
          <w:b/>
          <w:bCs/>
        </w:rPr>
        <w:t xml:space="preserve">, in order to devise and implement policies regarding the implementation of the </w:t>
      </w:r>
      <w:proofErr w:type="gramStart"/>
      <w:r w:rsidR="00E665C1" w:rsidRPr="004236DF">
        <w:rPr>
          <w:b/>
          <w:bCs/>
        </w:rPr>
        <w:t>Convention;</w:t>
      </w:r>
      <w:proofErr w:type="gramEnd"/>
    </w:p>
    <w:p w14:paraId="2C074501" w14:textId="7848102C" w:rsidR="00644B8F" w:rsidRPr="004236DF" w:rsidRDefault="00644B8F" w:rsidP="004236DF">
      <w:pPr>
        <w:pStyle w:val="NormalWeb"/>
        <w:shd w:val="clear" w:color="auto" w:fill="FFFFFF"/>
        <w:spacing w:before="0" w:beforeAutospacing="0" w:after="240" w:afterAutospacing="0" w:line="255" w:lineRule="atLeast"/>
        <w:ind w:left="1134" w:right="1134" w:firstLine="567"/>
        <w:jc w:val="both"/>
        <w:textAlignment w:val="baseline"/>
        <w:rPr>
          <w:b/>
          <w:bCs/>
          <w:sz w:val="20"/>
          <w:szCs w:val="20"/>
        </w:rPr>
      </w:pPr>
      <w:r w:rsidRPr="004236DF">
        <w:rPr>
          <w:b/>
          <w:sz w:val="20"/>
          <w:szCs w:val="20"/>
        </w:rPr>
        <w:tab/>
        <w:t>(b)</w:t>
      </w:r>
      <w:r w:rsidRPr="004236DF">
        <w:rPr>
          <w:b/>
          <w:bCs/>
          <w:sz w:val="20"/>
          <w:szCs w:val="20"/>
        </w:rPr>
        <w:tab/>
      </w:r>
      <w:r w:rsidR="00E665C1" w:rsidRPr="004236DF">
        <w:rPr>
          <w:b/>
          <w:bCs/>
          <w:sz w:val="20"/>
          <w:szCs w:val="20"/>
        </w:rPr>
        <w:t>Adopt</w:t>
      </w:r>
      <w:r w:rsidRPr="004236DF">
        <w:rPr>
          <w:b/>
          <w:bCs/>
          <w:sz w:val="20"/>
          <w:szCs w:val="20"/>
        </w:rPr>
        <w:t xml:space="preserve"> internationally established norms and safeguards, including legislation on data protection, to ensure confidentiality, ethical principles of data use and respect for the privacy of persons with disabilities;</w:t>
      </w:r>
    </w:p>
    <w:p w14:paraId="79B264C7" w14:textId="4CAD402A" w:rsidR="006E416A" w:rsidRPr="004236DF" w:rsidRDefault="00644B8F" w:rsidP="004236DF">
      <w:pPr>
        <w:pStyle w:val="SingleTxtG"/>
        <w:ind w:firstLine="567"/>
        <w:rPr>
          <w:b/>
        </w:rPr>
      </w:pPr>
      <w:r w:rsidRPr="004236DF">
        <w:rPr>
          <w:b/>
        </w:rPr>
        <w:t>(c)</w:t>
      </w:r>
      <w:r w:rsidRPr="004236DF">
        <w:rPr>
          <w:b/>
        </w:rPr>
        <w:tab/>
        <w:t xml:space="preserve">Ensure the data generated by </w:t>
      </w:r>
      <w:proofErr w:type="spellStart"/>
      <w:r w:rsidRPr="004236DF">
        <w:rPr>
          <w:b/>
        </w:rPr>
        <w:t>Geostat</w:t>
      </w:r>
      <w:proofErr w:type="spellEnd"/>
      <w:r w:rsidRPr="004236DF">
        <w:rPr>
          <w:b/>
        </w:rPr>
        <w:t xml:space="preserve"> can be disaggregated by disability</w:t>
      </w:r>
      <w:r w:rsidR="00E95DE8" w:rsidRPr="004236DF">
        <w:rPr>
          <w:b/>
        </w:rPr>
        <w:t xml:space="preserve"> and i</w:t>
      </w:r>
      <w:r w:rsidRPr="004236DF">
        <w:rPr>
          <w:b/>
        </w:rPr>
        <w:t xml:space="preserve">nclude the </w:t>
      </w:r>
      <w:r w:rsidR="00E95DE8" w:rsidRPr="004236DF">
        <w:rPr>
          <w:b/>
        </w:rPr>
        <w:t>s</w:t>
      </w:r>
      <w:r w:rsidRPr="004236DF">
        <w:rPr>
          <w:b/>
        </w:rPr>
        <w:t xml:space="preserve">hort Set of questions on Disability by the Washington Group on disability in </w:t>
      </w:r>
      <w:r w:rsidR="00E665C1" w:rsidRPr="004236DF">
        <w:rPr>
          <w:b/>
        </w:rPr>
        <w:t xml:space="preserve">future </w:t>
      </w:r>
      <w:r w:rsidRPr="004236DF">
        <w:rPr>
          <w:b/>
        </w:rPr>
        <w:t xml:space="preserve">population censuses as well as </w:t>
      </w:r>
      <w:r w:rsidR="00E95DE8" w:rsidRPr="004236DF">
        <w:rPr>
          <w:b/>
        </w:rPr>
        <w:t xml:space="preserve">in </w:t>
      </w:r>
      <w:r w:rsidRPr="004236DF">
        <w:rPr>
          <w:b/>
        </w:rPr>
        <w:t>periodic household surveys</w:t>
      </w:r>
      <w:r w:rsidR="00E95DE8" w:rsidRPr="004236DF">
        <w:rPr>
          <w:b/>
        </w:rPr>
        <w:t>.</w:t>
      </w:r>
    </w:p>
    <w:p w14:paraId="2FE17D5A" w14:textId="546857A4" w:rsidR="006E416A" w:rsidRPr="00502ECB" w:rsidRDefault="006E416A" w:rsidP="006E416A">
      <w:pPr>
        <w:pStyle w:val="H23G"/>
        <w:outlineLvl w:val="2"/>
      </w:pPr>
      <w:r w:rsidRPr="00502ECB">
        <w:tab/>
      </w:r>
      <w:r w:rsidRPr="00502ECB">
        <w:tab/>
        <w:t>International cooperation (art. 32)</w:t>
      </w:r>
    </w:p>
    <w:p w14:paraId="4611930F" w14:textId="6688A3E7" w:rsidR="005C2812" w:rsidRPr="00502ECB" w:rsidRDefault="006E416A" w:rsidP="005C2812">
      <w:pPr>
        <w:pStyle w:val="SingleTxtG"/>
        <w:rPr>
          <w:shd w:val="clear" w:color="auto" w:fill="FFFFFF"/>
        </w:rPr>
      </w:pPr>
      <w:r w:rsidRPr="00502ECB">
        <w:t>63.</w:t>
      </w:r>
      <w:r w:rsidRPr="00502ECB">
        <w:tab/>
      </w:r>
      <w:r w:rsidR="005C2812" w:rsidRPr="00502ECB">
        <w:t>T</w:t>
      </w:r>
      <w:r w:rsidRPr="00502ECB">
        <w:t>he Committee</w:t>
      </w:r>
      <w:r w:rsidR="004A0724" w:rsidRPr="00502ECB">
        <w:t xml:space="preserve"> notes with concern the absence of information about </w:t>
      </w:r>
      <w:r w:rsidR="005446C5" w:rsidRPr="00502ECB">
        <w:t xml:space="preserve">the inclusion of </w:t>
      </w:r>
      <w:r w:rsidR="00E665C1" w:rsidRPr="00502ECB">
        <w:t xml:space="preserve">a </w:t>
      </w:r>
      <w:r w:rsidR="005446C5" w:rsidRPr="00502ECB">
        <w:t xml:space="preserve">disability perspective and human rights </w:t>
      </w:r>
      <w:r w:rsidR="004A0724" w:rsidRPr="00502ECB">
        <w:t>in international</w:t>
      </w:r>
      <w:r w:rsidR="005446C5" w:rsidRPr="00502ECB">
        <w:t xml:space="preserve"> cooperation programmes, including </w:t>
      </w:r>
      <w:r w:rsidR="00E665C1" w:rsidRPr="00502ECB">
        <w:t xml:space="preserve">in </w:t>
      </w:r>
      <w:r w:rsidR="005446C5" w:rsidRPr="00502ECB">
        <w:t xml:space="preserve">projects </w:t>
      </w:r>
      <w:r w:rsidR="00E341B7" w:rsidRPr="00502ECB">
        <w:t xml:space="preserve">financed by </w:t>
      </w:r>
      <w:r w:rsidR="005446C5" w:rsidRPr="00502ECB">
        <w:t>the European Union Development assistance for Georgia and in</w:t>
      </w:r>
      <w:r w:rsidR="00545CAD" w:rsidRPr="00502ECB">
        <w:t xml:space="preserve"> programmes related to the 2030 Development Agenda and Sustainable Development Goals.</w:t>
      </w:r>
      <w:r w:rsidR="005446C5" w:rsidRPr="00502ECB">
        <w:t xml:space="preserve"> It is also concerned about the lack of information </w:t>
      </w:r>
      <w:r w:rsidR="00E665C1" w:rsidRPr="00502ECB">
        <w:t xml:space="preserve">about </w:t>
      </w:r>
      <w:r w:rsidR="005446C5" w:rsidRPr="00502ECB">
        <w:t xml:space="preserve">consultation with organizations of persons with disabilities in </w:t>
      </w:r>
      <w:r w:rsidR="00E665C1" w:rsidRPr="00502ECB">
        <w:t xml:space="preserve">the establishment of </w:t>
      </w:r>
      <w:r w:rsidR="005446C5" w:rsidRPr="00502ECB">
        <w:t xml:space="preserve">programmes and priorities for international cooperation. </w:t>
      </w:r>
    </w:p>
    <w:p w14:paraId="3E3D1A72" w14:textId="76C5EEFF" w:rsidR="006E416A" w:rsidRPr="00502ECB" w:rsidRDefault="006E416A" w:rsidP="00836BB7">
      <w:pPr>
        <w:pStyle w:val="SingleTxtG"/>
        <w:rPr>
          <w:bCs/>
        </w:rPr>
      </w:pPr>
      <w:r w:rsidRPr="00502ECB">
        <w:t>6</w:t>
      </w:r>
      <w:r w:rsidR="00294BCF">
        <w:t>4</w:t>
      </w:r>
      <w:r w:rsidRPr="00502ECB">
        <w:t>.</w:t>
      </w:r>
      <w:r w:rsidRPr="00502ECB">
        <w:tab/>
      </w:r>
      <w:r w:rsidRPr="00502ECB">
        <w:rPr>
          <w:b/>
        </w:rPr>
        <w:t>The Committee recommends that</w:t>
      </w:r>
      <w:r w:rsidRPr="00502ECB">
        <w:rPr>
          <w:b/>
          <w:bCs/>
        </w:rPr>
        <w:t xml:space="preserve"> the State party</w:t>
      </w:r>
      <w:r w:rsidR="00836BB7" w:rsidRPr="00502ECB">
        <w:rPr>
          <w:b/>
        </w:rPr>
        <w:t xml:space="preserve"> m</w:t>
      </w:r>
      <w:r w:rsidRPr="00502ECB">
        <w:rPr>
          <w:b/>
        </w:rPr>
        <w:t xml:space="preserve">ainstream the rights of persons with disabilities in </w:t>
      </w:r>
      <w:r w:rsidR="003D5CC9" w:rsidRPr="00502ECB">
        <w:rPr>
          <w:b/>
        </w:rPr>
        <w:t>the design</w:t>
      </w:r>
      <w:r w:rsidR="00E665C1" w:rsidRPr="00502ECB">
        <w:rPr>
          <w:b/>
        </w:rPr>
        <w:t>,</w:t>
      </w:r>
      <w:r w:rsidR="003D5CC9" w:rsidRPr="00502ECB">
        <w:rPr>
          <w:b/>
        </w:rPr>
        <w:t xml:space="preserve"> </w:t>
      </w:r>
      <w:proofErr w:type="gramStart"/>
      <w:r w:rsidRPr="00502ECB">
        <w:rPr>
          <w:b/>
        </w:rPr>
        <w:t>implementation</w:t>
      </w:r>
      <w:proofErr w:type="gramEnd"/>
      <w:r w:rsidRPr="00502ECB">
        <w:rPr>
          <w:b/>
        </w:rPr>
        <w:t xml:space="preserve"> and monitoring of </w:t>
      </w:r>
      <w:r w:rsidR="00E665C1" w:rsidRPr="00502ECB">
        <w:rPr>
          <w:b/>
        </w:rPr>
        <w:t xml:space="preserve">its </w:t>
      </w:r>
      <w:r w:rsidR="00836BB7" w:rsidRPr="00502ECB">
        <w:rPr>
          <w:b/>
        </w:rPr>
        <w:t>international cooperation programmes, including projects financed by the European Union</w:t>
      </w:r>
      <w:r w:rsidR="00E665C1" w:rsidRPr="00502ECB">
        <w:rPr>
          <w:b/>
        </w:rPr>
        <w:t>,</w:t>
      </w:r>
      <w:r w:rsidR="00836BB7" w:rsidRPr="00502ECB">
        <w:rPr>
          <w:b/>
        </w:rPr>
        <w:t xml:space="preserve"> and in the implementation of the </w:t>
      </w:r>
      <w:r w:rsidRPr="00502ECB">
        <w:rPr>
          <w:b/>
        </w:rPr>
        <w:t xml:space="preserve">2030 Agenda for Sustainable Development </w:t>
      </w:r>
      <w:r w:rsidR="00836BB7" w:rsidRPr="00502ECB">
        <w:rPr>
          <w:b/>
        </w:rPr>
        <w:t xml:space="preserve">and Sustainable Development Goals </w:t>
      </w:r>
      <w:r w:rsidRPr="00502ECB">
        <w:rPr>
          <w:b/>
        </w:rPr>
        <w:t>at all levels</w:t>
      </w:r>
      <w:r w:rsidR="00836BB7" w:rsidRPr="00502ECB">
        <w:rPr>
          <w:b/>
        </w:rPr>
        <w:t xml:space="preserve">, </w:t>
      </w:r>
      <w:r w:rsidRPr="00502ECB">
        <w:rPr>
          <w:b/>
        </w:rPr>
        <w:t>in close consultation with and with the active involvement of organizations of persons with disabilities</w:t>
      </w:r>
      <w:r w:rsidRPr="00502ECB">
        <w:rPr>
          <w:rFonts w:eastAsia="Calibri"/>
          <w:b/>
        </w:rPr>
        <w:t>.</w:t>
      </w:r>
      <w:r w:rsidR="005C2812" w:rsidRPr="00502ECB">
        <w:rPr>
          <w:rFonts w:eastAsia="Calibri"/>
          <w:b/>
        </w:rPr>
        <w:t xml:space="preserve"> </w:t>
      </w:r>
    </w:p>
    <w:p w14:paraId="142EC6F8" w14:textId="25913992" w:rsidR="00D65568" w:rsidRPr="00502ECB" w:rsidRDefault="00D65568" w:rsidP="00D65568">
      <w:pPr>
        <w:pStyle w:val="H23G"/>
        <w:outlineLvl w:val="2"/>
      </w:pPr>
      <w:r w:rsidRPr="00502ECB">
        <w:tab/>
      </w:r>
      <w:r w:rsidRPr="00502ECB">
        <w:tab/>
        <w:t>National implementation and monitoring (art. 33)</w:t>
      </w:r>
    </w:p>
    <w:p w14:paraId="6193D383" w14:textId="2DFF4707" w:rsidR="00D65568" w:rsidRPr="00502ECB" w:rsidRDefault="00D65568" w:rsidP="00D65568">
      <w:pPr>
        <w:pStyle w:val="SingleTxtG"/>
      </w:pPr>
      <w:r w:rsidRPr="00502ECB">
        <w:t>6</w:t>
      </w:r>
      <w:r w:rsidR="006E416A" w:rsidRPr="00502ECB">
        <w:t>5</w:t>
      </w:r>
      <w:r w:rsidRPr="00502ECB">
        <w:t>.</w:t>
      </w:r>
      <w:r w:rsidRPr="00502ECB">
        <w:tab/>
        <w:t>The Committee</w:t>
      </w:r>
      <w:r w:rsidR="005C2812" w:rsidRPr="00502ECB">
        <w:t xml:space="preserve"> observes with concern:</w:t>
      </w:r>
    </w:p>
    <w:p w14:paraId="19876FB7" w14:textId="1605A345" w:rsidR="005C2812" w:rsidRPr="00502ECB" w:rsidRDefault="00D65568" w:rsidP="004236DF">
      <w:pPr>
        <w:pStyle w:val="SingleTxtG"/>
        <w:ind w:firstLine="567"/>
        <w:rPr>
          <w:bCs/>
          <w:lang w:val="en-US"/>
        </w:rPr>
      </w:pPr>
      <w:r w:rsidRPr="00502ECB">
        <w:tab/>
        <w:t>(a)</w:t>
      </w:r>
      <w:r w:rsidRPr="00502ECB">
        <w:tab/>
      </w:r>
      <w:r w:rsidR="005C2812" w:rsidRPr="00502ECB">
        <w:rPr>
          <w:bCs/>
        </w:rPr>
        <w:t>T</w:t>
      </w:r>
      <w:r w:rsidR="005C2812" w:rsidRPr="00502ECB">
        <w:rPr>
          <w:bCs/>
          <w:lang w:val="en-US"/>
        </w:rPr>
        <w:t xml:space="preserve">he limited human, technical and financial resources of the Inter-Agency Coordination Committee for the implementation of the </w:t>
      </w:r>
      <w:proofErr w:type="gramStart"/>
      <w:r w:rsidR="005C2812" w:rsidRPr="00502ECB">
        <w:rPr>
          <w:bCs/>
          <w:lang w:val="en-US"/>
        </w:rPr>
        <w:t>Convention;</w:t>
      </w:r>
      <w:proofErr w:type="gramEnd"/>
    </w:p>
    <w:p w14:paraId="364A384E" w14:textId="354D0E1E" w:rsidR="005C2812" w:rsidRPr="00502ECB" w:rsidRDefault="005C2812" w:rsidP="005C2812">
      <w:pPr>
        <w:pStyle w:val="SingleTxtG"/>
        <w:ind w:firstLine="567"/>
        <w:rPr>
          <w:bCs/>
          <w:lang w:val="en-US"/>
        </w:rPr>
      </w:pPr>
      <w:r w:rsidRPr="00502ECB">
        <w:rPr>
          <w:bCs/>
          <w:lang w:val="en-US"/>
        </w:rPr>
        <w:t>(b)</w:t>
      </w:r>
      <w:r w:rsidRPr="00502ECB">
        <w:rPr>
          <w:bCs/>
          <w:lang w:val="en-US"/>
        </w:rPr>
        <w:tab/>
        <w:t>That</w:t>
      </w:r>
      <w:r w:rsidR="00422000" w:rsidRPr="00502ECB">
        <w:rPr>
          <w:bCs/>
          <w:lang w:val="en-US"/>
        </w:rPr>
        <w:t xml:space="preserve"> permanent</w:t>
      </w:r>
      <w:r w:rsidRPr="00502ECB">
        <w:rPr>
          <w:bCs/>
          <w:lang w:val="en-US"/>
        </w:rPr>
        <w:t xml:space="preserve"> participation of </w:t>
      </w:r>
      <w:r w:rsidR="00C112CD" w:rsidRPr="00502ECB">
        <w:rPr>
          <w:bCs/>
          <w:lang w:val="en-US"/>
        </w:rPr>
        <w:t>organizations</w:t>
      </w:r>
      <w:r w:rsidRPr="00502ECB">
        <w:rPr>
          <w:bCs/>
          <w:lang w:val="en-US"/>
        </w:rPr>
        <w:t xml:space="preserve"> of persons with disabilities at the independent monitoring mechanism has yet to be </w:t>
      </w:r>
      <w:proofErr w:type="gramStart"/>
      <w:r w:rsidRPr="00502ECB">
        <w:rPr>
          <w:bCs/>
          <w:lang w:val="en-US"/>
        </w:rPr>
        <w:t>developed;</w:t>
      </w:r>
      <w:proofErr w:type="gramEnd"/>
    </w:p>
    <w:p w14:paraId="6FCD2EA8" w14:textId="3AC700D6" w:rsidR="005C2812" w:rsidRPr="00502ECB" w:rsidRDefault="005C2812" w:rsidP="005C2812">
      <w:pPr>
        <w:pStyle w:val="SingleTxtG"/>
        <w:ind w:firstLine="567"/>
        <w:rPr>
          <w:bCs/>
          <w:lang w:val="en-US"/>
        </w:rPr>
      </w:pPr>
      <w:r w:rsidRPr="00502ECB">
        <w:rPr>
          <w:bCs/>
          <w:lang w:val="en-US"/>
        </w:rPr>
        <w:t>(c)</w:t>
      </w:r>
      <w:r w:rsidRPr="00502ECB">
        <w:rPr>
          <w:bCs/>
          <w:lang w:val="en-US"/>
        </w:rPr>
        <w:tab/>
        <w:t xml:space="preserve">The lack of implementation of the recommendations issued by the Public </w:t>
      </w:r>
      <w:proofErr w:type="spellStart"/>
      <w:r w:rsidRPr="00502ECB">
        <w:rPr>
          <w:bCs/>
          <w:lang w:val="en-US"/>
        </w:rPr>
        <w:t>Defender’s</w:t>
      </w:r>
      <w:proofErr w:type="spellEnd"/>
      <w:r w:rsidRPr="00502ECB">
        <w:rPr>
          <w:bCs/>
          <w:lang w:val="en-US"/>
        </w:rPr>
        <w:t xml:space="preserve"> of Georgia concerning the rights of persons with disabilities. </w:t>
      </w:r>
    </w:p>
    <w:p w14:paraId="058EE792" w14:textId="699C0D93" w:rsidR="005C2812" w:rsidRPr="00502ECB" w:rsidRDefault="004236DF" w:rsidP="005C2812">
      <w:pPr>
        <w:pStyle w:val="SingleTxtG"/>
        <w:rPr>
          <w:b/>
          <w:lang w:val="en-US"/>
        </w:rPr>
      </w:pPr>
      <w:r>
        <w:rPr>
          <w:bCs/>
          <w:lang w:val="en-US"/>
        </w:rPr>
        <w:lastRenderedPageBreak/>
        <w:t>66.</w:t>
      </w:r>
      <w:r w:rsidR="005C2812" w:rsidRPr="00502ECB">
        <w:rPr>
          <w:bCs/>
          <w:lang w:val="en-US"/>
        </w:rPr>
        <w:tab/>
      </w:r>
      <w:r w:rsidR="005C2812" w:rsidRPr="00502ECB">
        <w:rPr>
          <w:b/>
          <w:lang w:val="en-US"/>
        </w:rPr>
        <w:t xml:space="preserve">The </w:t>
      </w:r>
      <w:r w:rsidR="000A0CAD" w:rsidRPr="00502ECB">
        <w:rPr>
          <w:b/>
          <w:lang w:val="en-US"/>
        </w:rPr>
        <w:t>Committee recommends that the State party:</w:t>
      </w:r>
    </w:p>
    <w:p w14:paraId="755ACA73" w14:textId="703D0A7D" w:rsidR="00420178" w:rsidRPr="004236DF" w:rsidRDefault="00420178" w:rsidP="00420178">
      <w:pPr>
        <w:pStyle w:val="SingleTxtG"/>
        <w:ind w:firstLine="567"/>
        <w:rPr>
          <w:b/>
          <w:bCs/>
          <w:lang w:val="en-US"/>
        </w:rPr>
      </w:pPr>
      <w:r w:rsidRPr="004236DF">
        <w:rPr>
          <w:b/>
        </w:rPr>
        <w:t>(a)</w:t>
      </w:r>
      <w:r w:rsidRPr="004236DF">
        <w:rPr>
          <w:b/>
          <w:bCs/>
        </w:rPr>
        <w:tab/>
        <w:t xml:space="preserve">Strengthen the </w:t>
      </w:r>
      <w:r w:rsidRPr="004236DF">
        <w:rPr>
          <w:b/>
          <w:bCs/>
          <w:lang w:val="en-US"/>
        </w:rPr>
        <w:t xml:space="preserve">human, technical and financial resources of the Inter-Agency Coordination Committee, </w:t>
      </w:r>
      <w:r w:rsidRPr="004236DF">
        <w:rPr>
          <w:b/>
          <w:bCs/>
        </w:rPr>
        <w:t>build the capacity of focal points to mainstream the rights of persons with disabilities across all sectors and levels of government</w:t>
      </w:r>
      <w:r w:rsidR="00422000" w:rsidRPr="004236DF">
        <w:rPr>
          <w:b/>
          <w:bCs/>
        </w:rPr>
        <w:t>,</w:t>
      </w:r>
      <w:r w:rsidRPr="004236DF">
        <w:rPr>
          <w:b/>
          <w:bCs/>
        </w:rPr>
        <w:t xml:space="preserve"> and strengthen their mandates with respect to </w:t>
      </w:r>
      <w:r w:rsidR="00422000" w:rsidRPr="004236DF">
        <w:rPr>
          <w:b/>
          <w:bCs/>
        </w:rPr>
        <w:t xml:space="preserve">the implementation of </w:t>
      </w:r>
      <w:r w:rsidRPr="004236DF">
        <w:rPr>
          <w:b/>
          <w:bCs/>
        </w:rPr>
        <w:t xml:space="preserve">the </w:t>
      </w:r>
      <w:proofErr w:type="gramStart"/>
      <w:r w:rsidRPr="004236DF">
        <w:rPr>
          <w:b/>
          <w:bCs/>
        </w:rPr>
        <w:t>Convention;</w:t>
      </w:r>
      <w:proofErr w:type="gramEnd"/>
      <w:r w:rsidRPr="004236DF">
        <w:rPr>
          <w:b/>
          <w:bCs/>
        </w:rPr>
        <w:t xml:space="preserve"> </w:t>
      </w:r>
    </w:p>
    <w:p w14:paraId="371581A8" w14:textId="6299386E" w:rsidR="00420178" w:rsidRPr="004236DF" w:rsidRDefault="00420178" w:rsidP="00420178">
      <w:pPr>
        <w:pStyle w:val="SingleTxtG"/>
        <w:ind w:firstLine="567"/>
        <w:rPr>
          <w:b/>
          <w:bCs/>
          <w:lang w:val="en-US"/>
        </w:rPr>
      </w:pPr>
      <w:r w:rsidRPr="004236DF">
        <w:rPr>
          <w:b/>
          <w:lang w:val="en-US"/>
        </w:rPr>
        <w:t>(b)</w:t>
      </w:r>
      <w:r w:rsidRPr="004236DF">
        <w:rPr>
          <w:b/>
          <w:bCs/>
          <w:lang w:val="en-US"/>
        </w:rPr>
        <w:tab/>
        <w:t xml:space="preserve">Increase </w:t>
      </w:r>
      <w:r w:rsidRPr="004236DF">
        <w:rPr>
          <w:b/>
          <w:bCs/>
        </w:rPr>
        <w:t>resources for the development of</w:t>
      </w:r>
      <w:r w:rsidR="00D66154" w:rsidRPr="004236DF">
        <w:rPr>
          <w:b/>
          <w:bCs/>
        </w:rPr>
        <w:t xml:space="preserve"> the monitoring mandate of the </w:t>
      </w:r>
      <w:r w:rsidRPr="004236DF">
        <w:rPr>
          <w:b/>
          <w:bCs/>
          <w:lang w:val="en-US"/>
        </w:rPr>
        <w:t>Public Defender of Georgia</w:t>
      </w:r>
      <w:r w:rsidR="00D66154" w:rsidRPr="004236DF">
        <w:rPr>
          <w:b/>
          <w:bCs/>
          <w:lang w:val="en-US"/>
        </w:rPr>
        <w:t xml:space="preserve">, </w:t>
      </w:r>
      <w:r w:rsidR="00422000" w:rsidRPr="004236DF">
        <w:rPr>
          <w:b/>
          <w:bCs/>
          <w:lang w:val="en-US"/>
        </w:rPr>
        <w:t xml:space="preserve">to </w:t>
      </w:r>
      <w:r w:rsidR="00D66154" w:rsidRPr="004236DF">
        <w:rPr>
          <w:b/>
          <w:bCs/>
          <w:lang w:val="en-US"/>
        </w:rPr>
        <w:t xml:space="preserve">provide for accessible information and methodologies </w:t>
      </w:r>
      <w:r w:rsidR="009068A0" w:rsidRPr="004236DF">
        <w:rPr>
          <w:b/>
          <w:bCs/>
          <w:lang w:val="en-US"/>
        </w:rPr>
        <w:t>in its</w:t>
      </w:r>
      <w:r w:rsidR="00D66154" w:rsidRPr="004236DF">
        <w:rPr>
          <w:b/>
          <w:bCs/>
          <w:lang w:val="en-US"/>
        </w:rPr>
        <w:t xml:space="preserve"> work and </w:t>
      </w:r>
      <w:r w:rsidR="00422000" w:rsidRPr="004236DF">
        <w:rPr>
          <w:b/>
          <w:bCs/>
          <w:lang w:val="en-US"/>
        </w:rPr>
        <w:t xml:space="preserve">to ensure </w:t>
      </w:r>
      <w:r w:rsidR="00D66154" w:rsidRPr="004236DF">
        <w:rPr>
          <w:b/>
          <w:bCs/>
        </w:rPr>
        <w:t xml:space="preserve">that persons with disabilities and their representative organizations are effectively involved in monitoring the implementation of the Convention, including during situations of risk and emergencies and in the recovery </w:t>
      </w:r>
      <w:proofErr w:type="gramStart"/>
      <w:r w:rsidR="00D66154" w:rsidRPr="004236DF">
        <w:rPr>
          <w:b/>
          <w:bCs/>
        </w:rPr>
        <w:t>period</w:t>
      </w:r>
      <w:r w:rsidRPr="004236DF">
        <w:rPr>
          <w:b/>
          <w:bCs/>
          <w:lang w:val="en-US"/>
        </w:rPr>
        <w:t>;</w:t>
      </w:r>
      <w:proofErr w:type="gramEnd"/>
    </w:p>
    <w:p w14:paraId="25CE61FC" w14:textId="7D20622B" w:rsidR="000A0CAD" w:rsidRPr="00502ECB" w:rsidRDefault="00420178" w:rsidP="00D66154">
      <w:pPr>
        <w:pStyle w:val="SingleTxtG"/>
        <w:ind w:firstLine="567"/>
        <w:rPr>
          <w:b/>
          <w:bCs/>
          <w:lang w:val="en-US"/>
        </w:rPr>
      </w:pPr>
      <w:r w:rsidRPr="004236DF">
        <w:rPr>
          <w:b/>
          <w:lang w:val="en-US"/>
        </w:rPr>
        <w:t>(c)</w:t>
      </w:r>
      <w:r w:rsidRPr="004236DF">
        <w:rPr>
          <w:b/>
          <w:lang w:val="en-US"/>
        </w:rPr>
        <w:tab/>
      </w:r>
      <w:proofErr w:type="gramStart"/>
      <w:r w:rsidR="006F0850" w:rsidRPr="004236DF">
        <w:rPr>
          <w:b/>
        </w:rPr>
        <w:t>Take into account</w:t>
      </w:r>
      <w:proofErr w:type="gramEnd"/>
      <w:r w:rsidR="006F0850" w:rsidRPr="004236DF">
        <w:rPr>
          <w:b/>
        </w:rPr>
        <w:t xml:space="preserve"> the Committee’s guidelines on independent monitoring frameworks</w:t>
      </w:r>
      <w:r w:rsidR="006F0850" w:rsidRPr="00502ECB">
        <w:rPr>
          <w:b/>
        </w:rPr>
        <w:t xml:space="preserve"> and their participation in the work of the Committee</w:t>
      </w:r>
      <w:r w:rsidR="006F0850" w:rsidRPr="00502ECB">
        <w:rPr>
          <w:rStyle w:val="FootnoteReference"/>
          <w:b/>
        </w:rPr>
        <w:footnoteReference w:id="6"/>
      </w:r>
      <w:r w:rsidR="006F0850" w:rsidRPr="00502ECB">
        <w:rPr>
          <w:b/>
        </w:rPr>
        <w:t xml:space="preserve"> and </w:t>
      </w:r>
      <w:r w:rsidR="006F0850" w:rsidRPr="00502ECB">
        <w:rPr>
          <w:b/>
          <w:bCs/>
          <w:lang w:val="en-US"/>
        </w:rPr>
        <w:t>s</w:t>
      </w:r>
      <w:r w:rsidR="009068A0" w:rsidRPr="00502ECB">
        <w:rPr>
          <w:b/>
          <w:bCs/>
          <w:lang w:val="en-US"/>
        </w:rPr>
        <w:t xml:space="preserve">trengthen the mandate and the role of the Public Defender’s Office by enforcing its recommendations and facilitating </w:t>
      </w:r>
      <w:r w:rsidR="00422000" w:rsidRPr="00502ECB">
        <w:rPr>
          <w:b/>
          <w:bCs/>
          <w:lang w:val="en-US"/>
        </w:rPr>
        <w:t xml:space="preserve">unrestricted </w:t>
      </w:r>
      <w:r w:rsidR="009068A0" w:rsidRPr="00502ECB">
        <w:rPr>
          <w:b/>
          <w:bCs/>
          <w:lang w:val="en-US"/>
        </w:rPr>
        <w:t>access to information</w:t>
      </w:r>
      <w:r w:rsidR="00422000" w:rsidRPr="00502ECB">
        <w:rPr>
          <w:b/>
          <w:bCs/>
          <w:lang w:val="en-US"/>
        </w:rPr>
        <w:t xml:space="preserve"> in its monitoring obligations</w:t>
      </w:r>
      <w:r w:rsidR="009068A0" w:rsidRPr="00502ECB">
        <w:rPr>
          <w:b/>
          <w:bCs/>
          <w:lang w:val="en-US"/>
        </w:rPr>
        <w:t>.</w:t>
      </w:r>
      <w:r w:rsidRPr="00502ECB">
        <w:rPr>
          <w:b/>
          <w:bCs/>
          <w:lang w:val="en-US"/>
        </w:rPr>
        <w:t xml:space="preserve"> </w:t>
      </w:r>
    </w:p>
    <w:p w14:paraId="0A20A3F8" w14:textId="4F7236EE" w:rsidR="001E55F4" w:rsidRPr="00502ECB" w:rsidRDefault="004236DF" w:rsidP="004236DF">
      <w:pPr>
        <w:pStyle w:val="HChG"/>
      </w:pPr>
      <w:r>
        <w:tab/>
        <w:t>D.</w:t>
      </w:r>
      <w:r w:rsidR="001E55F4" w:rsidRPr="00502ECB">
        <w:tab/>
      </w:r>
      <w:r w:rsidR="001E55F4" w:rsidRPr="00502ECB">
        <w:tab/>
        <w:t>Follow-up</w:t>
      </w:r>
    </w:p>
    <w:p w14:paraId="213F0536" w14:textId="77777777" w:rsidR="001E55F4" w:rsidRPr="00502ECB" w:rsidRDefault="001E55F4" w:rsidP="001E55F4">
      <w:pPr>
        <w:pStyle w:val="H23G"/>
        <w:outlineLvl w:val="2"/>
      </w:pPr>
      <w:r w:rsidRPr="00502ECB">
        <w:tab/>
      </w:r>
      <w:r w:rsidRPr="00502ECB">
        <w:tab/>
        <w:t>Dissemination of information</w:t>
      </w:r>
    </w:p>
    <w:p w14:paraId="09B7B13A" w14:textId="08BD8E7C" w:rsidR="001E55F4" w:rsidRPr="00502ECB" w:rsidRDefault="001E55F4" w:rsidP="001E55F4">
      <w:pPr>
        <w:pStyle w:val="SingleTxtG"/>
      </w:pPr>
      <w:r w:rsidRPr="00502ECB">
        <w:t>6</w:t>
      </w:r>
      <w:r w:rsidR="006E416A" w:rsidRPr="00502ECB">
        <w:t>7</w:t>
      </w:r>
      <w:r w:rsidRPr="00502ECB">
        <w:t>.</w:t>
      </w:r>
      <w:r w:rsidRPr="00502ECB">
        <w:tab/>
      </w:r>
      <w:r w:rsidRPr="00502ECB">
        <w:rPr>
          <w:b/>
        </w:rPr>
        <w:t xml:space="preserve">The Committee emphasizes the importance of all the recommendations contained in the present concluding observations. </w:t>
      </w:r>
      <w:proofErr w:type="gramStart"/>
      <w:r w:rsidRPr="00502ECB">
        <w:rPr>
          <w:b/>
        </w:rPr>
        <w:t>With regard to</w:t>
      </w:r>
      <w:proofErr w:type="gramEnd"/>
      <w:r w:rsidRPr="00502ECB">
        <w:rPr>
          <w:b/>
        </w:rPr>
        <w:t xml:space="preserve"> urgent measures that must be taken, the Committee would like to draw the State party’s attention to the recommendations contained in paragraph</w:t>
      </w:r>
      <w:r w:rsidR="00FA1A4B">
        <w:rPr>
          <w:b/>
        </w:rPr>
        <w:t xml:space="preserve"> </w:t>
      </w:r>
      <w:r w:rsidR="004C0649">
        <w:rPr>
          <w:b/>
        </w:rPr>
        <w:t xml:space="preserve">10 </w:t>
      </w:r>
      <w:r w:rsidR="00ED1400">
        <w:rPr>
          <w:b/>
        </w:rPr>
        <w:t>(</w:t>
      </w:r>
      <w:r w:rsidR="004C0649">
        <w:rPr>
          <w:b/>
        </w:rPr>
        <w:t>article 4 (3)</w:t>
      </w:r>
      <w:r w:rsidR="00ED1400">
        <w:rPr>
          <w:b/>
        </w:rPr>
        <w:t>)</w:t>
      </w:r>
      <w:r w:rsidR="004C0649">
        <w:rPr>
          <w:b/>
        </w:rPr>
        <w:t xml:space="preserve">, </w:t>
      </w:r>
      <w:r w:rsidR="00BE380C">
        <w:rPr>
          <w:b/>
        </w:rPr>
        <w:t>para</w:t>
      </w:r>
      <w:r w:rsidR="00ED1400">
        <w:rPr>
          <w:b/>
        </w:rPr>
        <w:t>graph</w:t>
      </w:r>
      <w:r w:rsidR="00BE380C">
        <w:rPr>
          <w:b/>
        </w:rPr>
        <w:t xml:space="preserve"> </w:t>
      </w:r>
      <w:r w:rsidR="00ED1400">
        <w:rPr>
          <w:b/>
        </w:rPr>
        <w:t>6</w:t>
      </w:r>
      <w:r w:rsidR="00BE380C">
        <w:rPr>
          <w:b/>
        </w:rPr>
        <w:t>2</w:t>
      </w:r>
      <w:r w:rsidR="004C0649">
        <w:rPr>
          <w:b/>
        </w:rPr>
        <w:t xml:space="preserve"> </w:t>
      </w:r>
      <w:r w:rsidR="00ED1400">
        <w:rPr>
          <w:b/>
        </w:rPr>
        <w:t>(</w:t>
      </w:r>
      <w:r w:rsidR="004C0649">
        <w:rPr>
          <w:b/>
        </w:rPr>
        <w:t>article 31</w:t>
      </w:r>
      <w:r w:rsidR="00ED1400">
        <w:rPr>
          <w:b/>
        </w:rPr>
        <w:t>)</w:t>
      </w:r>
      <w:r w:rsidR="004C0649">
        <w:rPr>
          <w:b/>
        </w:rPr>
        <w:t xml:space="preserve"> and</w:t>
      </w:r>
      <w:r w:rsidR="00BE380C">
        <w:rPr>
          <w:b/>
        </w:rPr>
        <w:t xml:space="preserve"> para</w:t>
      </w:r>
      <w:r w:rsidR="00ED1400">
        <w:rPr>
          <w:b/>
        </w:rPr>
        <w:t xml:space="preserve">graph </w:t>
      </w:r>
      <w:r w:rsidR="004C0649">
        <w:rPr>
          <w:b/>
        </w:rPr>
        <w:t>6</w:t>
      </w:r>
      <w:r w:rsidR="00BE380C">
        <w:rPr>
          <w:b/>
        </w:rPr>
        <w:t>6</w:t>
      </w:r>
      <w:r w:rsidR="004C0649">
        <w:rPr>
          <w:b/>
        </w:rPr>
        <w:t xml:space="preserve"> </w:t>
      </w:r>
      <w:r w:rsidR="00ED1400">
        <w:rPr>
          <w:b/>
        </w:rPr>
        <w:t>(</w:t>
      </w:r>
      <w:r w:rsidR="004C0649">
        <w:rPr>
          <w:b/>
        </w:rPr>
        <w:t>article 33</w:t>
      </w:r>
      <w:r w:rsidR="00ED1400">
        <w:rPr>
          <w:b/>
        </w:rPr>
        <w:t>)</w:t>
      </w:r>
      <w:r w:rsidR="004C0649">
        <w:rPr>
          <w:b/>
        </w:rPr>
        <w:t xml:space="preserve"> of the Convention.</w:t>
      </w:r>
      <w:r w:rsidRPr="00502ECB">
        <w:t xml:space="preserve"> </w:t>
      </w:r>
    </w:p>
    <w:p w14:paraId="6716B1EB" w14:textId="7C4206D2" w:rsidR="001E55F4" w:rsidRPr="00502ECB" w:rsidRDefault="001E55F4" w:rsidP="001E55F4">
      <w:pPr>
        <w:pStyle w:val="SingleTxtG"/>
      </w:pPr>
      <w:r w:rsidRPr="00502ECB">
        <w:t>6</w:t>
      </w:r>
      <w:r w:rsidR="006E416A" w:rsidRPr="00502ECB">
        <w:t>8</w:t>
      </w:r>
      <w:r w:rsidRPr="00502ECB">
        <w:t>.</w:t>
      </w:r>
      <w:r w:rsidRPr="00502ECB">
        <w:tab/>
      </w:r>
      <w:r w:rsidRPr="00502ECB">
        <w:rPr>
          <w:b/>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14:paraId="6CB478E2" w14:textId="76CA9D82" w:rsidR="001E55F4" w:rsidRPr="00502ECB" w:rsidRDefault="001E55F4" w:rsidP="001E55F4">
      <w:pPr>
        <w:pStyle w:val="SingleTxtG"/>
      </w:pPr>
      <w:r w:rsidRPr="00502ECB">
        <w:t>6</w:t>
      </w:r>
      <w:r w:rsidR="006E416A" w:rsidRPr="00502ECB">
        <w:t>9</w:t>
      </w:r>
      <w:r w:rsidRPr="00502ECB">
        <w:t>.</w:t>
      </w:r>
      <w:r w:rsidRPr="00502ECB">
        <w:tab/>
      </w:r>
      <w:r w:rsidRPr="00502ECB">
        <w:rPr>
          <w:b/>
        </w:rPr>
        <w:t>The Committee strongly encourages the State party to involve civil society organizations, in particular organizations of persons with disabilities, in the preparation of its periodic report.</w:t>
      </w:r>
    </w:p>
    <w:p w14:paraId="628E613F" w14:textId="7D989186" w:rsidR="001E55F4" w:rsidRPr="00502ECB" w:rsidRDefault="006E416A" w:rsidP="001E55F4">
      <w:pPr>
        <w:pStyle w:val="SingleTxtG"/>
      </w:pPr>
      <w:r w:rsidRPr="00502ECB">
        <w:t>70</w:t>
      </w:r>
      <w:r w:rsidR="001E55F4" w:rsidRPr="00502ECB">
        <w:t>.</w:t>
      </w:r>
      <w:r w:rsidR="001E55F4" w:rsidRPr="00502ECB">
        <w:tab/>
      </w:r>
      <w:r w:rsidR="001E55F4" w:rsidRPr="00502ECB">
        <w:rPr>
          <w:b/>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0B35A480" w14:textId="77777777" w:rsidR="001E55F4" w:rsidRPr="00502ECB" w:rsidRDefault="001E55F4" w:rsidP="001E55F4">
      <w:pPr>
        <w:pStyle w:val="H23G"/>
        <w:outlineLvl w:val="2"/>
      </w:pPr>
      <w:r w:rsidRPr="00502ECB">
        <w:tab/>
      </w:r>
      <w:r w:rsidRPr="00502ECB">
        <w:tab/>
        <w:t>Next periodic report</w:t>
      </w:r>
    </w:p>
    <w:p w14:paraId="4D899E1A" w14:textId="662D2A5F" w:rsidR="000864E9" w:rsidRDefault="006E416A" w:rsidP="004236DF">
      <w:pPr>
        <w:pStyle w:val="SingleTxtG"/>
        <w:rPr>
          <w:b/>
        </w:rPr>
      </w:pPr>
      <w:r w:rsidRPr="00502ECB">
        <w:t>71</w:t>
      </w:r>
      <w:r w:rsidR="001E55F4" w:rsidRPr="00502ECB">
        <w:t>.</w:t>
      </w:r>
      <w:r w:rsidR="001E55F4" w:rsidRPr="00502ECB">
        <w:tab/>
      </w:r>
      <w:r w:rsidR="001E55F4" w:rsidRPr="00502ECB">
        <w:rPr>
          <w:b/>
        </w:rPr>
        <w:t>The Committee requests the State party to submit its combined second, third</w:t>
      </w:r>
      <w:r w:rsidR="00C819DD" w:rsidRPr="00502ECB">
        <w:rPr>
          <w:b/>
        </w:rPr>
        <w:t xml:space="preserve">, </w:t>
      </w:r>
      <w:r w:rsidR="001E55F4" w:rsidRPr="00502ECB">
        <w:rPr>
          <w:b/>
        </w:rPr>
        <w:t>fourth</w:t>
      </w:r>
      <w:r w:rsidR="00C819DD" w:rsidRPr="00502ECB">
        <w:rPr>
          <w:b/>
        </w:rPr>
        <w:t xml:space="preserve"> and </w:t>
      </w:r>
      <w:r w:rsidR="00456AB2">
        <w:rPr>
          <w:b/>
        </w:rPr>
        <w:t>fifth</w:t>
      </w:r>
      <w:r w:rsidR="00456AB2" w:rsidRPr="00502ECB">
        <w:rPr>
          <w:b/>
        </w:rPr>
        <w:t xml:space="preserve"> </w:t>
      </w:r>
      <w:r w:rsidR="001E55F4" w:rsidRPr="00502ECB">
        <w:rPr>
          <w:b/>
        </w:rPr>
        <w:t xml:space="preserve">periodic reports by </w:t>
      </w:r>
      <w:r w:rsidR="00C819DD" w:rsidRPr="00502ECB">
        <w:rPr>
          <w:b/>
        </w:rPr>
        <w:t>19</w:t>
      </w:r>
      <w:r w:rsidR="001E55F4" w:rsidRPr="00502ECB">
        <w:rPr>
          <w:b/>
        </w:rPr>
        <w:t xml:space="preserve"> </w:t>
      </w:r>
      <w:r w:rsidR="00C819DD" w:rsidRPr="00502ECB">
        <w:rPr>
          <w:b/>
        </w:rPr>
        <w:t>Jul</w:t>
      </w:r>
      <w:r w:rsidR="001E55F4" w:rsidRPr="00502ECB">
        <w:rPr>
          <w:b/>
        </w:rPr>
        <w:t xml:space="preserve">y 2028 and to include therein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w:t>
      </w:r>
      <w:proofErr w:type="gramStart"/>
      <w:r w:rsidR="001E55F4" w:rsidRPr="00502ECB">
        <w:rPr>
          <w:b/>
        </w:rPr>
        <w:t>State</w:t>
      </w:r>
      <w:proofErr w:type="gramEnd"/>
      <w:r w:rsidR="001E55F4" w:rsidRPr="00502ECB">
        <w:rPr>
          <w:b/>
        </w:rPr>
        <w:t xml:space="preserve"> party. The replies of a </w:t>
      </w:r>
      <w:proofErr w:type="gramStart"/>
      <w:r w:rsidR="001E55F4" w:rsidRPr="00502ECB">
        <w:rPr>
          <w:b/>
        </w:rPr>
        <w:t>State</w:t>
      </w:r>
      <w:proofErr w:type="gramEnd"/>
      <w:r w:rsidR="001E55F4" w:rsidRPr="00502ECB">
        <w:rPr>
          <w:b/>
        </w:rPr>
        <w:t xml:space="preserve"> party to such a list of issues constitute its report.</w:t>
      </w:r>
    </w:p>
    <w:p w14:paraId="6DBF6636" w14:textId="1506B490" w:rsidR="004236DF" w:rsidRPr="004236DF" w:rsidRDefault="004236DF" w:rsidP="004236DF">
      <w:pPr>
        <w:pStyle w:val="SingleTxtG"/>
        <w:spacing w:before="240" w:after="0"/>
        <w:jc w:val="center"/>
        <w:rPr>
          <w:b/>
          <w:color w:val="000000" w:themeColor="text1"/>
          <w:u w:val="single"/>
        </w:rPr>
      </w:pPr>
      <w:r>
        <w:rPr>
          <w:u w:val="single"/>
        </w:rPr>
        <w:tab/>
      </w:r>
      <w:r>
        <w:rPr>
          <w:u w:val="single"/>
        </w:rPr>
        <w:tab/>
      </w:r>
      <w:r>
        <w:rPr>
          <w:u w:val="single"/>
        </w:rPr>
        <w:tab/>
      </w:r>
      <w:r>
        <w:rPr>
          <w:u w:val="single"/>
        </w:rPr>
        <w:tab/>
      </w:r>
    </w:p>
    <w:sectPr w:rsidR="004236DF" w:rsidRPr="004236D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1587" w14:textId="77777777" w:rsidR="001C064E" w:rsidRDefault="001C064E">
      <w:pPr>
        <w:spacing w:line="240" w:lineRule="auto"/>
      </w:pPr>
      <w:r>
        <w:separator/>
      </w:r>
    </w:p>
  </w:endnote>
  <w:endnote w:type="continuationSeparator" w:id="0">
    <w:p w14:paraId="0C17F49B" w14:textId="77777777" w:rsidR="001C064E" w:rsidRDefault="001C064E">
      <w:pPr>
        <w:spacing w:line="240" w:lineRule="auto"/>
      </w:pPr>
      <w:r>
        <w:continuationSeparator/>
      </w:r>
    </w:p>
  </w:endnote>
  <w:endnote w:type="continuationNotice" w:id="1">
    <w:p w14:paraId="0558C935" w14:textId="77777777" w:rsidR="001C064E" w:rsidRDefault="001C06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36BB" w14:textId="5F135C86" w:rsidR="00B41EEA" w:rsidRDefault="00B41EEA">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454F3A">
      <w:rPr>
        <w:b/>
        <w:noProof/>
        <w:sz w:val="18"/>
      </w:rPr>
      <w:t>18</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E9EA" w14:textId="415020E2" w:rsidR="00B41EEA" w:rsidRDefault="00B41EEA">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454F3A">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42F" w14:textId="6CC1D05B" w:rsidR="00B41EEA" w:rsidRDefault="00B41EEA">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7AE9D6F0" wp14:editId="77E7C1AD">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548013"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sidR="00B93D81">
      <w:rPr>
        <w:sz w:val="20"/>
      </w:rPr>
      <w:t>2</w:t>
    </w:r>
    <w:r w:rsidR="00346491">
      <w:rPr>
        <w:sz w:val="20"/>
      </w:rPr>
      <w:t>3-</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41EEA" w14:paraId="68A574B5" w14:textId="77777777">
      <w:tc>
        <w:tcPr>
          <w:tcW w:w="1848" w:type="dxa"/>
          <w:vAlign w:val="bottom"/>
        </w:tcPr>
        <w:p w14:paraId="664118D6" w14:textId="77777777" w:rsidR="00B41EEA" w:rsidRDefault="00B41EEA">
          <w:pPr>
            <w:pStyle w:val="Footer"/>
            <w:spacing w:before="120" w:after="120"/>
            <w:jc w:val="right"/>
          </w:pPr>
          <w:r>
            <w:rPr>
              <w:noProof/>
              <w:sz w:val="20"/>
              <w:lang w:eastAsia="en-GB"/>
            </w:rPr>
            <w:drawing>
              <wp:inline distT="0" distB="0" distL="0" distR="0" wp14:anchorId="10FDF9DE" wp14:editId="7A678267">
                <wp:extent cx="931545" cy="232410"/>
                <wp:effectExtent l="0" t="0" r="1905" b="0"/>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883306"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6A62BACF" w14:textId="6E479B0F" w:rsidR="00B41EEA" w:rsidRDefault="00B41EEA">
          <w:pPr>
            <w:pStyle w:val="Footer"/>
            <w:jc w:val="right"/>
          </w:pPr>
        </w:p>
      </w:tc>
    </w:tr>
  </w:tbl>
  <w:p w14:paraId="2E7B37F8" w14:textId="77777777" w:rsidR="00B41EEA" w:rsidRDefault="00B4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73EC" w14:textId="77777777" w:rsidR="001C064E" w:rsidRDefault="001C064E">
      <w:pPr>
        <w:spacing w:line="240" w:lineRule="auto"/>
      </w:pPr>
      <w:r>
        <w:separator/>
      </w:r>
    </w:p>
  </w:footnote>
  <w:footnote w:type="continuationSeparator" w:id="0">
    <w:p w14:paraId="40E8C0A5" w14:textId="77777777" w:rsidR="001C064E" w:rsidRDefault="001C064E">
      <w:pPr>
        <w:spacing w:line="240" w:lineRule="auto"/>
      </w:pPr>
      <w:r>
        <w:continuationSeparator/>
      </w:r>
    </w:p>
  </w:footnote>
  <w:footnote w:type="continuationNotice" w:id="1">
    <w:p w14:paraId="14FA35AC" w14:textId="77777777" w:rsidR="001C064E" w:rsidRDefault="001C064E">
      <w:pPr>
        <w:spacing w:line="240" w:lineRule="auto"/>
      </w:pPr>
    </w:p>
  </w:footnote>
  <w:footnote w:id="2">
    <w:p w14:paraId="69361770" w14:textId="77777777" w:rsidR="008931E4" w:rsidRPr="00743B07" w:rsidRDefault="008931E4" w:rsidP="008931E4">
      <w:pPr>
        <w:pStyle w:val="FootnoteText"/>
      </w:pPr>
      <w:r w:rsidRPr="00743B07">
        <w:tab/>
        <w:t>*</w:t>
      </w:r>
      <w:r w:rsidRPr="00743B07">
        <w:tab/>
        <w:t>Adopted by the Committee at its twenty-</w:t>
      </w:r>
      <w:r>
        <w:t xml:space="preserve">eighth </w:t>
      </w:r>
      <w:r w:rsidRPr="00743B07">
        <w:t>session (</w:t>
      </w:r>
      <w:r>
        <w:t>6</w:t>
      </w:r>
      <w:r w:rsidRPr="00743B07">
        <w:t>–</w:t>
      </w:r>
      <w:r>
        <w:t>24 March 2023</w:t>
      </w:r>
      <w:r w:rsidRPr="00743B07">
        <w:t>).</w:t>
      </w:r>
    </w:p>
  </w:footnote>
  <w:footnote w:id="3">
    <w:p w14:paraId="7EF77AA5" w14:textId="6039BBB0" w:rsidR="00581AEE" w:rsidRDefault="00D73A1E" w:rsidP="004D0A6C">
      <w:pPr>
        <w:pStyle w:val="FootnoteText"/>
        <w:spacing w:line="240" w:lineRule="exact"/>
      </w:pPr>
      <w:r>
        <w:tab/>
      </w:r>
      <w:r w:rsidR="00581AEE">
        <w:rPr>
          <w:rStyle w:val="FootnoteReference"/>
        </w:rPr>
        <w:footnoteRef/>
      </w:r>
      <w:r>
        <w:tab/>
      </w:r>
      <w:r w:rsidR="00581AEE">
        <w:t>A/72/55, annex</w:t>
      </w:r>
    </w:p>
  </w:footnote>
  <w:footnote w:id="4">
    <w:p w14:paraId="5CC0D162" w14:textId="78FAE881" w:rsidR="004D0A6C" w:rsidRDefault="00D73A1E">
      <w:pPr>
        <w:pStyle w:val="FootnoteText"/>
      </w:pPr>
      <w:r>
        <w:tab/>
      </w:r>
      <w:r w:rsidR="004D0A6C">
        <w:rPr>
          <w:rStyle w:val="FootnoteReference"/>
        </w:rPr>
        <w:footnoteRef/>
      </w:r>
      <w:r>
        <w:tab/>
      </w:r>
      <w:hyperlink r:id="rId1" w:history="1">
        <w:r w:rsidR="006F0D8B" w:rsidRPr="006F0D8B">
          <w:rPr>
            <w:rStyle w:val="Hyperlink"/>
          </w:rPr>
          <w:t>Open letter on Draft Additional Protocol to the Oviedo Convention (June 2021)</w:t>
        </w:r>
      </w:hyperlink>
      <w:r w:rsidR="006F0D8B">
        <w:t>.</w:t>
      </w:r>
    </w:p>
  </w:footnote>
  <w:footnote w:id="5">
    <w:p w14:paraId="580A1B07" w14:textId="776895FE" w:rsidR="00174204" w:rsidRDefault="00D73A1E">
      <w:pPr>
        <w:pStyle w:val="FootnoteText"/>
      </w:pPr>
      <w:r>
        <w:tab/>
      </w:r>
      <w:r w:rsidR="00174204">
        <w:rPr>
          <w:rStyle w:val="FootnoteReference"/>
        </w:rPr>
        <w:footnoteRef/>
      </w:r>
      <w:r>
        <w:tab/>
      </w:r>
      <w:hyperlink r:id="rId2" w:history="1">
        <w:r w:rsidR="00174204" w:rsidRPr="00174204">
          <w:rPr>
            <w:rStyle w:val="Hyperlink"/>
          </w:rPr>
          <w:t>CRPD/C/5</w:t>
        </w:r>
      </w:hyperlink>
    </w:p>
  </w:footnote>
  <w:footnote w:id="6">
    <w:p w14:paraId="026EE900" w14:textId="506F5B76" w:rsidR="006F0850" w:rsidRDefault="004236DF" w:rsidP="004D0A6C">
      <w:pPr>
        <w:pStyle w:val="FootnoteText"/>
        <w:ind w:left="0" w:firstLine="0"/>
      </w:pPr>
      <w:r>
        <w:tab/>
      </w:r>
      <w:r w:rsidR="006F0850">
        <w:rPr>
          <w:rStyle w:val="FootnoteReference"/>
        </w:rPr>
        <w:footnoteRef/>
      </w:r>
      <w:r>
        <w:tab/>
      </w:r>
      <w:r w:rsidR="006F0850" w:rsidRPr="009068A0">
        <w:t>Annex to CRPD Rules of Procedure </w:t>
      </w:r>
      <w:hyperlink r:id="rId3" w:history="1">
        <w:r w:rsidR="006F0850" w:rsidRPr="009068A0">
          <w:rPr>
            <w:rStyle w:val="Hyperlink"/>
            <w:b/>
            <w:bCs/>
          </w:rPr>
          <w:t>CRPD/C/1/Rev.1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963B" w14:textId="62511AC7" w:rsidR="00B41EEA" w:rsidRPr="00240836" w:rsidRDefault="00B41EEA">
    <w:pPr>
      <w:pStyle w:val="Header"/>
    </w:pPr>
    <w:r w:rsidRPr="00240836">
      <w:t>CRPD/C/</w:t>
    </w:r>
    <w:r w:rsidR="005937F1">
      <w:t>GEO</w:t>
    </w:r>
    <w:r w:rsidR="00C95104">
      <w:t>/CO/</w:t>
    </w:r>
    <w:r w:rsidR="00057568">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0D19" w14:textId="15EC39D7" w:rsidR="00B41EEA" w:rsidRPr="00240836" w:rsidRDefault="00B41EEA">
    <w:pPr>
      <w:pStyle w:val="Header"/>
      <w:jc w:val="right"/>
    </w:pPr>
    <w:r w:rsidRPr="00240836">
      <w:t>CRPD/C/</w:t>
    </w:r>
    <w:r w:rsidR="005937F1">
      <w:t>GEO</w:t>
    </w:r>
    <w:r w:rsidRPr="00240836">
      <w:t>/CO/</w:t>
    </w:r>
    <w:r w:rsidR="00057568">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1177" w14:textId="77777777" w:rsidR="00B41EEA" w:rsidRDefault="00B41EEA">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D2530"/>
    <w:multiLevelType w:val="hybridMultilevel"/>
    <w:tmpl w:val="C33EBF5A"/>
    <w:lvl w:ilvl="0" w:tplc="889E8012">
      <w:start w:val="4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629791F"/>
    <w:multiLevelType w:val="hybridMultilevel"/>
    <w:tmpl w:val="73867DE0"/>
    <w:lvl w:ilvl="0" w:tplc="666A88AA">
      <w:start w:val="1"/>
      <w:numFmt w:val="lowerLetter"/>
      <w:lvlText w:val="(%1)"/>
      <w:lvlJc w:val="left"/>
      <w:pPr>
        <w:ind w:left="720" w:hanging="360"/>
      </w:pPr>
      <w:rPr>
        <w:rFonts w:eastAsia="Malgun Gothic"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887"/>
    <w:multiLevelType w:val="hybridMultilevel"/>
    <w:tmpl w:val="2B362816"/>
    <w:lvl w:ilvl="0" w:tplc="6BD43A2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70E18B0" w:tentative="1">
      <w:start w:val="1"/>
      <w:numFmt w:val="lowerLetter"/>
      <w:lvlText w:val="%2."/>
      <w:lvlJc w:val="left"/>
      <w:pPr>
        <w:tabs>
          <w:tab w:val="num" w:pos="1440"/>
        </w:tabs>
        <w:ind w:left="1440" w:hanging="360"/>
      </w:pPr>
    </w:lvl>
    <w:lvl w:ilvl="2" w:tplc="92C40CD0" w:tentative="1">
      <w:start w:val="1"/>
      <w:numFmt w:val="lowerRoman"/>
      <w:lvlText w:val="%3."/>
      <w:lvlJc w:val="right"/>
      <w:pPr>
        <w:tabs>
          <w:tab w:val="num" w:pos="2160"/>
        </w:tabs>
        <w:ind w:left="2160" w:hanging="180"/>
      </w:pPr>
    </w:lvl>
    <w:lvl w:ilvl="3" w:tplc="CC8253C6" w:tentative="1">
      <w:start w:val="1"/>
      <w:numFmt w:val="decimal"/>
      <w:lvlText w:val="%4."/>
      <w:lvlJc w:val="left"/>
      <w:pPr>
        <w:tabs>
          <w:tab w:val="num" w:pos="2880"/>
        </w:tabs>
        <w:ind w:left="2880" w:hanging="360"/>
      </w:pPr>
    </w:lvl>
    <w:lvl w:ilvl="4" w:tplc="34F0357A" w:tentative="1">
      <w:start w:val="1"/>
      <w:numFmt w:val="lowerLetter"/>
      <w:lvlText w:val="%5."/>
      <w:lvlJc w:val="left"/>
      <w:pPr>
        <w:tabs>
          <w:tab w:val="num" w:pos="3600"/>
        </w:tabs>
        <w:ind w:left="3600" w:hanging="360"/>
      </w:pPr>
    </w:lvl>
    <w:lvl w:ilvl="5" w:tplc="FF18EE1A" w:tentative="1">
      <w:start w:val="1"/>
      <w:numFmt w:val="lowerRoman"/>
      <w:lvlText w:val="%6."/>
      <w:lvlJc w:val="right"/>
      <w:pPr>
        <w:tabs>
          <w:tab w:val="num" w:pos="4320"/>
        </w:tabs>
        <w:ind w:left="4320" w:hanging="180"/>
      </w:pPr>
    </w:lvl>
    <w:lvl w:ilvl="6" w:tplc="1DF46860" w:tentative="1">
      <w:start w:val="1"/>
      <w:numFmt w:val="decimal"/>
      <w:lvlText w:val="%7."/>
      <w:lvlJc w:val="left"/>
      <w:pPr>
        <w:tabs>
          <w:tab w:val="num" w:pos="5040"/>
        </w:tabs>
        <w:ind w:left="5040" w:hanging="360"/>
      </w:pPr>
    </w:lvl>
    <w:lvl w:ilvl="7" w:tplc="AB7AE070" w:tentative="1">
      <w:start w:val="1"/>
      <w:numFmt w:val="lowerLetter"/>
      <w:lvlText w:val="%8."/>
      <w:lvlJc w:val="left"/>
      <w:pPr>
        <w:tabs>
          <w:tab w:val="num" w:pos="5760"/>
        </w:tabs>
        <w:ind w:left="5760" w:hanging="360"/>
      </w:pPr>
    </w:lvl>
    <w:lvl w:ilvl="8" w:tplc="DC8432AE" w:tentative="1">
      <w:start w:val="1"/>
      <w:numFmt w:val="lowerRoman"/>
      <w:lvlText w:val="%9."/>
      <w:lvlJc w:val="right"/>
      <w:pPr>
        <w:tabs>
          <w:tab w:val="num" w:pos="6480"/>
        </w:tabs>
        <w:ind w:left="6480" w:hanging="180"/>
      </w:pPr>
    </w:lvl>
  </w:abstractNum>
  <w:abstractNum w:abstractNumId="4" w15:restartNumberingAfterBreak="0">
    <w:nsid w:val="11B6398E"/>
    <w:multiLevelType w:val="hybridMultilevel"/>
    <w:tmpl w:val="14E64466"/>
    <w:lvl w:ilvl="0" w:tplc="FE604D84">
      <w:start w:val="59"/>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E3FB7"/>
    <w:multiLevelType w:val="hybridMultilevel"/>
    <w:tmpl w:val="3CE6CBD2"/>
    <w:lvl w:ilvl="0" w:tplc="B6542A5A">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8" w15:restartNumberingAfterBreak="0">
    <w:nsid w:val="282956E5"/>
    <w:multiLevelType w:val="hybridMultilevel"/>
    <w:tmpl w:val="CA70E882"/>
    <w:lvl w:ilvl="0" w:tplc="7E5E4C20">
      <w:start w:val="1"/>
      <w:numFmt w:val="lowerLetter"/>
      <w:lvlText w:val="(%1)"/>
      <w:lvlJc w:val="left"/>
      <w:pPr>
        <w:ind w:left="1854" w:hanging="360"/>
      </w:pPr>
      <w:rPr>
        <w:rFonts w:hint="default"/>
        <w:b w:val="0"/>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9" w15:restartNumberingAfterBreak="0">
    <w:nsid w:val="2C1C5DA2"/>
    <w:multiLevelType w:val="hybridMultilevel"/>
    <w:tmpl w:val="BB8A3058"/>
    <w:lvl w:ilvl="0" w:tplc="F6604A38">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10" w15:restartNumberingAfterBreak="0">
    <w:nsid w:val="2F7D1B61"/>
    <w:multiLevelType w:val="hybridMultilevel"/>
    <w:tmpl w:val="B1825886"/>
    <w:lvl w:ilvl="0" w:tplc="82B49DF4">
      <w:start w:val="15"/>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02F1A"/>
    <w:multiLevelType w:val="multilevel"/>
    <w:tmpl w:val="44CE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F34E9"/>
    <w:multiLevelType w:val="hybridMultilevel"/>
    <w:tmpl w:val="DCEE2728"/>
    <w:lvl w:ilvl="0" w:tplc="0809000F">
      <w:start w:val="2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ACF4EB2"/>
    <w:multiLevelType w:val="hybridMultilevel"/>
    <w:tmpl w:val="CB6C816A"/>
    <w:lvl w:ilvl="0" w:tplc="C1F2E1FC">
      <w:start w:val="1"/>
      <w:numFmt w:val="bullet"/>
      <w:pStyle w:val="Bullet2G"/>
      <w:lvlText w:val="•"/>
      <w:lvlJc w:val="left"/>
      <w:pPr>
        <w:tabs>
          <w:tab w:val="num" w:pos="2268"/>
        </w:tabs>
        <w:ind w:left="2268" w:hanging="170"/>
      </w:pPr>
      <w:rPr>
        <w:rFonts w:ascii="Times New Roman" w:hAnsi="Times New Roman" w:cs="Times New Roman" w:hint="default"/>
      </w:rPr>
    </w:lvl>
    <w:lvl w:ilvl="1" w:tplc="FEE65A2E" w:tentative="1">
      <w:start w:val="1"/>
      <w:numFmt w:val="bullet"/>
      <w:lvlText w:val="o"/>
      <w:lvlJc w:val="left"/>
      <w:pPr>
        <w:tabs>
          <w:tab w:val="num" w:pos="3708"/>
        </w:tabs>
        <w:ind w:left="3708" w:hanging="360"/>
      </w:pPr>
      <w:rPr>
        <w:rFonts w:ascii="Courier New" w:hAnsi="Courier New" w:hint="default"/>
      </w:rPr>
    </w:lvl>
    <w:lvl w:ilvl="2" w:tplc="13F60FA6" w:tentative="1">
      <w:start w:val="1"/>
      <w:numFmt w:val="bullet"/>
      <w:lvlText w:val=""/>
      <w:lvlJc w:val="left"/>
      <w:pPr>
        <w:tabs>
          <w:tab w:val="num" w:pos="4428"/>
        </w:tabs>
        <w:ind w:left="4428" w:hanging="360"/>
      </w:pPr>
      <w:rPr>
        <w:rFonts w:ascii="Wingdings" w:hAnsi="Wingdings" w:hint="default"/>
      </w:rPr>
    </w:lvl>
    <w:lvl w:ilvl="3" w:tplc="AF888716" w:tentative="1">
      <w:start w:val="1"/>
      <w:numFmt w:val="bullet"/>
      <w:lvlText w:val=""/>
      <w:lvlJc w:val="left"/>
      <w:pPr>
        <w:tabs>
          <w:tab w:val="num" w:pos="5148"/>
        </w:tabs>
        <w:ind w:left="5148" w:hanging="360"/>
      </w:pPr>
      <w:rPr>
        <w:rFonts w:ascii="Symbol" w:hAnsi="Symbol" w:hint="default"/>
      </w:rPr>
    </w:lvl>
    <w:lvl w:ilvl="4" w:tplc="FA425E32" w:tentative="1">
      <w:start w:val="1"/>
      <w:numFmt w:val="bullet"/>
      <w:lvlText w:val="o"/>
      <w:lvlJc w:val="left"/>
      <w:pPr>
        <w:tabs>
          <w:tab w:val="num" w:pos="5868"/>
        </w:tabs>
        <w:ind w:left="5868" w:hanging="360"/>
      </w:pPr>
      <w:rPr>
        <w:rFonts w:ascii="Courier New" w:hAnsi="Courier New" w:hint="default"/>
      </w:rPr>
    </w:lvl>
    <w:lvl w:ilvl="5" w:tplc="375416BC" w:tentative="1">
      <w:start w:val="1"/>
      <w:numFmt w:val="bullet"/>
      <w:lvlText w:val=""/>
      <w:lvlJc w:val="left"/>
      <w:pPr>
        <w:tabs>
          <w:tab w:val="num" w:pos="6588"/>
        </w:tabs>
        <w:ind w:left="6588" w:hanging="360"/>
      </w:pPr>
      <w:rPr>
        <w:rFonts w:ascii="Wingdings" w:hAnsi="Wingdings" w:hint="default"/>
      </w:rPr>
    </w:lvl>
    <w:lvl w:ilvl="6" w:tplc="9BFECE58" w:tentative="1">
      <w:start w:val="1"/>
      <w:numFmt w:val="bullet"/>
      <w:lvlText w:val=""/>
      <w:lvlJc w:val="left"/>
      <w:pPr>
        <w:tabs>
          <w:tab w:val="num" w:pos="7308"/>
        </w:tabs>
        <w:ind w:left="7308" w:hanging="360"/>
      </w:pPr>
      <w:rPr>
        <w:rFonts w:ascii="Symbol" w:hAnsi="Symbol" w:hint="default"/>
      </w:rPr>
    </w:lvl>
    <w:lvl w:ilvl="7" w:tplc="9748264C" w:tentative="1">
      <w:start w:val="1"/>
      <w:numFmt w:val="bullet"/>
      <w:lvlText w:val="o"/>
      <w:lvlJc w:val="left"/>
      <w:pPr>
        <w:tabs>
          <w:tab w:val="num" w:pos="8028"/>
        </w:tabs>
        <w:ind w:left="8028" w:hanging="360"/>
      </w:pPr>
      <w:rPr>
        <w:rFonts w:ascii="Courier New" w:hAnsi="Courier New" w:hint="default"/>
      </w:rPr>
    </w:lvl>
    <w:lvl w:ilvl="8" w:tplc="88A80966"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F0C7782"/>
    <w:multiLevelType w:val="hybridMultilevel"/>
    <w:tmpl w:val="9126C50A"/>
    <w:lvl w:ilvl="0" w:tplc="8F705AE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2A62F0C"/>
    <w:multiLevelType w:val="hybridMultilevel"/>
    <w:tmpl w:val="282C822A"/>
    <w:lvl w:ilvl="0" w:tplc="C3FC5180">
      <w:start w:val="33"/>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887265"/>
    <w:multiLevelType w:val="hybridMultilevel"/>
    <w:tmpl w:val="5F663D9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66E1D39"/>
    <w:multiLevelType w:val="hybridMultilevel"/>
    <w:tmpl w:val="A872BD08"/>
    <w:lvl w:ilvl="0" w:tplc="4F9C6992">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19" w15:restartNumberingAfterBreak="0">
    <w:nsid w:val="47E55CA4"/>
    <w:multiLevelType w:val="hybridMultilevel"/>
    <w:tmpl w:val="C9A67CD6"/>
    <w:lvl w:ilvl="0" w:tplc="0616C3F2">
      <w:start w:val="2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869246C"/>
    <w:multiLevelType w:val="hybridMultilevel"/>
    <w:tmpl w:val="EB420B4C"/>
    <w:lvl w:ilvl="0" w:tplc="AEE28FD0">
      <w:start w:val="1"/>
      <w:numFmt w:val="lowerLetter"/>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1" w15:restartNumberingAfterBreak="0">
    <w:nsid w:val="4C0F2557"/>
    <w:multiLevelType w:val="hybridMultilevel"/>
    <w:tmpl w:val="7CA2D40C"/>
    <w:lvl w:ilvl="0" w:tplc="870689A8">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22" w15:restartNumberingAfterBreak="0">
    <w:nsid w:val="4C325293"/>
    <w:multiLevelType w:val="hybridMultilevel"/>
    <w:tmpl w:val="ED82435A"/>
    <w:lvl w:ilvl="0" w:tplc="A30A3AAA">
      <w:start w:val="1"/>
      <w:numFmt w:val="lowerLetter"/>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3" w15:restartNumberingAfterBreak="0">
    <w:nsid w:val="4D993BBA"/>
    <w:multiLevelType w:val="hybridMultilevel"/>
    <w:tmpl w:val="5D8428DA"/>
    <w:lvl w:ilvl="0" w:tplc="AEE28FD0">
      <w:start w:val="1"/>
      <w:numFmt w:val="lowerLetter"/>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4" w15:restartNumberingAfterBreak="0">
    <w:nsid w:val="56EF5CE2"/>
    <w:multiLevelType w:val="hybridMultilevel"/>
    <w:tmpl w:val="1A627A92"/>
    <w:lvl w:ilvl="0" w:tplc="7CFC5570">
      <w:start w:val="1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7B501EF"/>
    <w:multiLevelType w:val="hybridMultilevel"/>
    <w:tmpl w:val="B17A1A9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9A54F96"/>
    <w:multiLevelType w:val="hybridMultilevel"/>
    <w:tmpl w:val="A43E68BA"/>
    <w:lvl w:ilvl="0" w:tplc="17B03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E74A90"/>
    <w:multiLevelType w:val="hybridMultilevel"/>
    <w:tmpl w:val="03CCFE74"/>
    <w:lvl w:ilvl="0" w:tplc="2112F0B6">
      <w:start w:val="3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8AD07B2"/>
    <w:multiLevelType w:val="hybridMultilevel"/>
    <w:tmpl w:val="7FEE3222"/>
    <w:lvl w:ilvl="0" w:tplc="EAFA0730">
      <w:start w:val="1"/>
      <w:numFmt w:val="bullet"/>
      <w:pStyle w:val="Bullet1G"/>
      <w:lvlText w:val="•"/>
      <w:lvlJc w:val="left"/>
      <w:pPr>
        <w:tabs>
          <w:tab w:val="num" w:pos="1701"/>
        </w:tabs>
        <w:ind w:left="1701" w:hanging="170"/>
      </w:pPr>
      <w:rPr>
        <w:rFonts w:ascii="Times New Roman" w:hAnsi="Times New Roman" w:cs="Times New Roman" w:hint="default"/>
      </w:rPr>
    </w:lvl>
    <w:lvl w:ilvl="1" w:tplc="FFD8A276" w:tentative="1">
      <w:start w:val="1"/>
      <w:numFmt w:val="bullet"/>
      <w:lvlText w:val="o"/>
      <w:lvlJc w:val="left"/>
      <w:pPr>
        <w:tabs>
          <w:tab w:val="num" w:pos="3141"/>
        </w:tabs>
        <w:ind w:left="3141" w:hanging="360"/>
      </w:pPr>
      <w:rPr>
        <w:rFonts w:ascii="Courier New" w:hAnsi="Courier New" w:hint="default"/>
      </w:rPr>
    </w:lvl>
    <w:lvl w:ilvl="2" w:tplc="25A209A6" w:tentative="1">
      <w:start w:val="1"/>
      <w:numFmt w:val="bullet"/>
      <w:lvlText w:val=""/>
      <w:lvlJc w:val="left"/>
      <w:pPr>
        <w:tabs>
          <w:tab w:val="num" w:pos="3861"/>
        </w:tabs>
        <w:ind w:left="3861" w:hanging="360"/>
      </w:pPr>
      <w:rPr>
        <w:rFonts w:ascii="Wingdings" w:hAnsi="Wingdings" w:hint="default"/>
      </w:rPr>
    </w:lvl>
    <w:lvl w:ilvl="3" w:tplc="8FFA0B76" w:tentative="1">
      <w:start w:val="1"/>
      <w:numFmt w:val="bullet"/>
      <w:lvlText w:val=""/>
      <w:lvlJc w:val="left"/>
      <w:pPr>
        <w:tabs>
          <w:tab w:val="num" w:pos="4581"/>
        </w:tabs>
        <w:ind w:left="4581" w:hanging="360"/>
      </w:pPr>
      <w:rPr>
        <w:rFonts w:ascii="Symbol" w:hAnsi="Symbol" w:hint="default"/>
      </w:rPr>
    </w:lvl>
    <w:lvl w:ilvl="4" w:tplc="1B4C88C0" w:tentative="1">
      <w:start w:val="1"/>
      <w:numFmt w:val="bullet"/>
      <w:lvlText w:val="o"/>
      <w:lvlJc w:val="left"/>
      <w:pPr>
        <w:tabs>
          <w:tab w:val="num" w:pos="5301"/>
        </w:tabs>
        <w:ind w:left="5301" w:hanging="360"/>
      </w:pPr>
      <w:rPr>
        <w:rFonts w:ascii="Courier New" w:hAnsi="Courier New" w:hint="default"/>
      </w:rPr>
    </w:lvl>
    <w:lvl w:ilvl="5" w:tplc="A860E536" w:tentative="1">
      <w:start w:val="1"/>
      <w:numFmt w:val="bullet"/>
      <w:lvlText w:val=""/>
      <w:lvlJc w:val="left"/>
      <w:pPr>
        <w:tabs>
          <w:tab w:val="num" w:pos="6021"/>
        </w:tabs>
        <w:ind w:left="6021" w:hanging="360"/>
      </w:pPr>
      <w:rPr>
        <w:rFonts w:ascii="Wingdings" w:hAnsi="Wingdings" w:hint="default"/>
      </w:rPr>
    </w:lvl>
    <w:lvl w:ilvl="6" w:tplc="FB360A32" w:tentative="1">
      <w:start w:val="1"/>
      <w:numFmt w:val="bullet"/>
      <w:lvlText w:val=""/>
      <w:lvlJc w:val="left"/>
      <w:pPr>
        <w:tabs>
          <w:tab w:val="num" w:pos="6741"/>
        </w:tabs>
        <w:ind w:left="6741" w:hanging="360"/>
      </w:pPr>
      <w:rPr>
        <w:rFonts w:ascii="Symbol" w:hAnsi="Symbol" w:hint="default"/>
      </w:rPr>
    </w:lvl>
    <w:lvl w:ilvl="7" w:tplc="8B98BE9E" w:tentative="1">
      <w:start w:val="1"/>
      <w:numFmt w:val="bullet"/>
      <w:lvlText w:val="o"/>
      <w:lvlJc w:val="left"/>
      <w:pPr>
        <w:tabs>
          <w:tab w:val="num" w:pos="7461"/>
        </w:tabs>
        <w:ind w:left="7461" w:hanging="360"/>
      </w:pPr>
      <w:rPr>
        <w:rFonts w:ascii="Courier New" w:hAnsi="Courier New" w:hint="default"/>
      </w:rPr>
    </w:lvl>
    <w:lvl w:ilvl="8" w:tplc="5AD63E46"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725918B7"/>
    <w:multiLevelType w:val="hybridMultilevel"/>
    <w:tmpl w:val="ABFC5232"/>
    <w:lvl w:ilvl="0" w:tplc="04270017">
      <w:start w:val="1"/>
      <w:numFmt w:val="lowerLetter"/>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591226"/>
    <w:multiLevelType w:val="hybridMultilevel"/>
    <w:tmpl w:val="8938C2BA"/>
    <w:lvl w:ilvl="0" w:tplc="F55C4D60">
      <w:start w:val="19"/>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D0B5592"/>
    <w:multiLevelType w:val="hybridMultilevel"/>
    <w:tmpl w:val="E0EC54CE"/>
    <w:lvl w:ilvl="0" w:tplc="5BB8050C">
      <w:start w:val="5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D83539F"/>
    <w:multiLevelType w:val="hybridMultilevel"/>
    <w:tmpl w:val="E23A8FF4"/>
    <w:lvl w:ilvl="0" w:tplc="6B089064">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37" w15:restartNumberingAfterBreak="0">
    <w:nsid w:val="7F40089F"/>
    <w:multiLevelType w:val="hybridMultilevel"/>
    <w:tmpl w:val="F9ACEE20"/>
    <w:lvl w:ilvl="0" w:tplc="1F8228DC">
      <w:start w:val="4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F664ED5"/>
    <w:multiLevelType w:val="hybridMultilevel"/>
    <w:tmpl w:val="BD76DEBA"/>
    <w:lvl w:ilvl="0" w:tplc="A6800638">
      <w:numFmt w:val="bullet"/>
      <w:lvlText w:val="-"/>
      <w:lvlJc w:val="left"/>
      <w:pPr>
        <w:ind w:left="720" w:hanging="360"/>
      </w:pPr>
      <w:rPr>
        <w:rFonts w:ascii="Sylfaen" w:eastAsiaTheme="minorHAnsi" w:hAnsi="Sylfaen"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44416687">
    <w:abstractNumId w:val="29"/>
  </w:num>
  <w:num w:numId="2" w16cid:durableId="30158566">
    <w:abstractNumId w:val="33"/>
  </w:num>
  <w:num w:numId="3" w16cid:durableId="1988900135">
    <w:abstractNumId w:val="31"/>
  </w:num>
  <w:num w:numId="4" w16cid:durableId="427385867">
    <w:abstractNumId w:val="14"/>
  </w:num>
  <w:num w:numId="5" w16cid:durableId="706871828">
    <w:abstractNumId w:val="3"/>
  </w:num>
  <w:num w:numId="6" w16cid:durableId="830488064">
    <w:abstractNumId w:val="4"/>
  </w:num>
  <w:num w:numId="7" w16cid:durableId="1950312525">
    <w:abstractNumId w:val="20"/>
  </w:num>
  <w:num w:numId="8" w16cid:durableId="1432778875">
    <w:abstractNumId w:val="8"/>
  </w:num>
  <w:num w:numId="9" w16cid:durableId="48506527">
    <w:abstractNumId w:val="23"/>
  </w:num>
  <w:num w:numId="10" w16cid:durableId="1625454768">
    <w:abstractNumId w:val="9"/>
  </w:num>
  <w:num w:numId="11" w16cid:durableId="1498183779">
    <w:abstractNumId w:val="32"/>
  </w:num>
  <w:num w:numId="12" w16cid:durableId="1334604861">
    <w:abstractNumId w:val="24"/>
  </w:num>
  <w:num w:numId="13" w16cid:durableId="526875845">
    <w:abstractNumId w:val="10"/>
  </w:num>
  <w:num w:numId="14" w16cid:durableId="1792549270">
    <w:abstractNumId w:val="34"/>
  </w:num>
  <w:num w:numId="15" w16cid:durableId="747074474">
    <w:abstractNumId w:val="13"/>
  </w:num>
  <w:num w:numId="16" w16cid:durableId="442842385">
    <w:abstractNumId w:val="19"/>
  </w:num>
  <w:num w:numId="17" w16cid:durableId="1466581885">
    <w:abstractNumId w:val="30"/>
  </w:num>
  <w:num w:numId="18" w16cid:durableId="88282458">
    <w:abstractNumId w:val="1"/>
  </w:num>
  <w:num w:numId="19" w16cid:durableId="868956682">
    <w:abstractNumId w:val="15"/>
  </w:num>
  <w:num w:numId="20" w16cid:durableId="1804542026">
    <w:abstractNumId w:val="22"/>
  </w:num>
  <w:num w:numId="21" w16cid:durableId="947930484">
    <w:abstractNumId w:val="21"/>
  </w:num>
  <w:num w:numId="22" w16cid:durableId="831677854">
    <w:abstractNumId w:val="36"/>
  </w:num>
  <w:num w:numId="23" w16cid:durableId="2066875551">
    <w:abstractNumId w:val="7"/>
  </w:num>
  <w:num w:numId="24" w16cid:durableId="1170220704">
    <w:abstractNumId w:val="18"/>
  </w:num>
  <w:num w:numId="25" w16cid:durableId="1574074744">
    <w:abstractNumId w:val="37"/>
  </w:num>
  <w:num w:numId="26" w16cid:durableId="641160058">
    <w:abstractNumId w:val="35"/>
  </w:num>
  <w:num w:numId="27" w16cid:durableId="836386630">
    <w:abstractNumId w:val="11"/>
  </w:num>
  <w:num w:numId="28" w16cid:durableId="121579793">
    <w:abstractNumId w:val="6"/>
  </w:num>
  <w:num w:numId="29" w16cid:durableId="433206899">
    <w:abstractNumId w:val="0"/>
  </w:num>
  <w:num w:numId="30" w16cid:durableId="1412194789">
    <w:abstractNumId w:val="27"/>
  </w:num>
  <w:num w:numId="31" w16cid:durableId="150144945">
    <w:abstractNumId w:val="28"/>
  </w:num>
  <w:num w:numId="32" w16cid:durableId="1808039675">
    <w:abstractNumId w:val="5"/>
  </w:num>
  <w:num w:numId="33" w16cid:durableId="641158728">
    <w:abstractNumId w:val="26"/>
  </w:num>
  <w:num w:numId="34" w16cid:durableId="749814839">
    <w:abstractNumId w:val="17"/>
  </w:num>
  <w:num w:numId="35" w16cid:durableId="918320806">
    <w:abstractNumId w:val="25"/>
  </w:num>
  <w:num w:numId="36" w16cid:durableId="851144698">
    <w:abstractNumId w:val="38"/>
  </w:num>
  <w:num w:numId="37" w16cid:durableId="1387796849">
    <w:abstractNumId w:val="16"/>
  </w:num>
  <w:num w:numId="38" w16cid:durableId="1752045890">
    <w:abstractNumId w:val="2"/>
  </w:num>
  <w:num w:numId="39" w16cid:durableId="16425052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SG" w:vendorID="64" w:dllVersion="0" w:nlCheck="1" w:checkStyle="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DB"/>
    <w:rsid w:val="00001F66"/>
    <w:rsid w:val="0000478B"/>
    <w:rsid w:val="00004D33"/>
    <w:rsid w:val="00004F9C"/>
    <w:rsid w:val="00005DA1"/>
    <w:rsid w:val="00005ED3"/>
    <w:rsid w:val="00005EE5"/>
    <w:rsid w:val="00011D72"/>
    <w:rsid w:val="00012F91"/>
    <w:rsid w:val="00014485"/>
    <w:rsid w:val="00016EB7"/>
    <w:rsid w:val="00020515"/>
    <w:rsid w:val="00021439"/>
    <w:rsid w:val="00021C5F"/>
    <w:rsid w:val="0002202C"/>
    <w:rsid w:val="000223E1"/>
    <w:rsid w:val="00022427"/>
    <w:rsid w:val="000231D7"/>
    <w:rsid w:val="00023873"/>
    <w:rsid w:val="000265CA"/>
    <w:rsid w:val="00027876"/>
    <w:rsid w:val="00030583"/>
    <w:rsid w:val="00030C34"/>
    <w:rsid w:val="00032393"/>
    <w:rsid w:val="00033C0F"/>
    <w:rsid w:val="0003487B"/>
    <w:rsid w:val="0003689A"/>
    <w:rsid w:val="000368E2"/>
    <w:rsid w:val="000378A4"/>
    <w:rsid w:val="00040DB2"/>
    <w:rsid w:val="000433CE"/>
    <w:rsid w:val="00044D6A"/>
    <w:rsid w:val="00046A51"/>
    <w:rsid w:val="00047354"/>
    <w:rsid w:val="00051197"/>
    <w:rsid w:val="00051490"/>
    <w:rsid w:val="000517AD"/>
    <w:rsid w:val="00052057"/>
    <w:rsid w:val="00052322"/>
    <w:rsid w:val="0005402D"/>
    <w:rsid w:val="00056D78"/>
    <w:rsid w:val="00057568"/>
    <w:rsid w:val="00061C75"/>
    <w:rsid w:val="000633F5"/>
    <w:rsid w:val="000652B0"/>
    <w:rsid w:val="000653EA"/>
    <w:rsid w:val="000731A9"/>
    <w:rsid w:val="00073C96"/>
    <w:rsid w:val="000756EE"/>
    <w:rsid w:val="00076A74"/>
    <w:rsid w:val="0007784B"/>
    <w:rsid w:val="00083B74"/>
    <w:rsid w:val="00083DDF"/>
    <w:rsid w:val="00083FAF"/>
    <w:rsid w:val="0008556A"/>
    <w:rsid w:val="000864E9"/>
    <w:rsid w:val="00087473"/>
    <w:rsid w:val="00093A4B"/>
    <w:rsid w:val="000963F3"/>
    <w:rsid w:val="0009649B"/>
    <w:rsid w:val="000A04A7"/>
    <w:rsid w:val="000A0CAD"/>
    <w:rsid w:val="000A1DFE"/>
    <w:rsid w:val="000A23B8"/>
    <w:rsid w:val="000A27D7"/>
    <w:rsid w:val="000A34F1"/>
    <w:rsid w:val="000A352D"/>
    <w:rsid w:val="000A73CC"/>
    <w:rsid w:val="000B0BA1"/>
    <w:rsid w:val="000B0DF4"/>
    <w:rsid w:val="000B2A40"/>
    <w:rsid w:val="000C25E0"/>
    <w:rsid w:val="000C3CC9"/>
    <w:rsid w:val="000C4928"/>
    <w:rsid w:val="000C7829"/>
    <w:rsid w:val="000C7F0E"/>
    <w:rsid w:val="000D0281"/>
    <w:rsid w:val="000D504D"/>
    <w:rsid w:val="000D76EC"/>
    <w:rsid w:val="000E06E9"/>
    <w:rsid w:val="000E100C"/>
    <w:rsid w:val="000E1146"/>
    <w:rsid w:val="000E189D"/>
    <w:rsid w:val="000E3ADB"/>
    <w:rsid w:val="000E4CB1"/>
    <w:rsid w:val="000E5A62"/>
    <w:rsid w:val="000E5DBF"/>
    <w:rsid w:val="000E7438"/>
    <w:rsid w:val="000F0731"/>
    <w:rsid w:val="000F209A"/>
    <w:rsid w:val="000F2378"/>
    <w:rsid w:val="000F5D06"/>
    <w:rsid w:val="000F69F4"/>
    <w:rsid w:val="000F73B9"/>
    <w:rsid w:val="001006BD"/>
    <w:rsid w:val="00104202"/>
    <w:rsid w:val="00104282"/>
    <w:rsid w:val="00104BE9"/>
    <w:rsid w:val="00106FFE"/>
    <w:rsid w:val="0011030A"/>
    <w:rsid w:val="00110BA6"/>
    <w:rsid w:val="00110BEC"/>
    <w:rsid w:val="00112FA7"/>
    <w:rsid w:val="00113E04"/>
    <w:rsid w:val="001141D2"/>
    <w:rsid w:val="00114214"/>
    <w:rsid w:val="00115AD7"/>
    <w:rsid w:val="00116040"/>
    <w:rsid w:val="00117BE0"/>
    <w:rsid w:val="00117BEF"/>
    <w:rsid w:val="00120A86"/>
    <w:rsid w:val="00121560"/>
    <w:rsid w:val="0012160E"/>
    <w:rsid w:val="001219DF"/>
    <w:rsid w:val="00122B80"/>
    <w:rsid w:val="00124383"/>
    <w:rsid w:val="00125ACE"/>
    <w:rsid w:val="00127000"/>
    <w:rsid w:val="0012753B"/>
    <w:rsid w:val="001276E1"/>
    <w:rsid w:val="001341BD"/>
    <w:rsid w:val="00134CFB"/>
    <w:rsid w:val="00140E3A"/>
    <w:rsid w:val="00146724"/>
    <w:rsid w:val="00146E58"/>
    <w:rsid w:val="00150E15"/>
    <w:rsid w:val="00151E9B"/>
    <w:rsid w:val="001521CA"/>
    <w:rsid w:val="001534A3"/>
    <w:rsid w:val="0015351E"/>
    <w:rsid w:val="001539BB"/>
    <w:rsid w:val="001541B0"/>
    <w:rsid w:val="00154848"/>
    <w:rsid w:val="00154CBE"/>
    <w:rsid w:val="001551E1"/>
    <w:rsid w:val="001555CA"/>
    <w:rsid w:val="001556D7"/>
    <w:rsid w:val="00156B88"/>
    <w:rsid w:val="00157EBC"/>
    <w:rsid w:val="0016063B"/>
    <w:rsid w:val="001611BF"/>
    <w:rsid w:val="0016170A"/>
    <w:rsid w:val="00162986"/>
    <w:rsid w:val="00163352"/>
    <w:rsid w:val="0017131E"/>
    <w:rsid w:val="001713A3"/>
    <w:rsid w:val="0017147E"/>
    <w:rsid w:val="00171F14"/>
    <w:rsid w:val="00174204"/>
    <w:rsid w:val="0017513D"/>
    <w:rsid w:val="001760E6"/>
    <w:rsid w:val="00190F49"/>
    <w:rsid w:val="00192542"/>
    <w:rsid w:val="00194972"/>
    <w:rsid w:val="00194E3E"/>
    <w:rsid w:val="001A0420"/>
    <w:rsid w:val="001A132A"/>
    <w:rsid w:val="001A275B"/>
    <w:rsid w:val="001A276F"/>
    <w:rsid w:val="001A303A"/>
    <w:rsid w:val="001A417C"/>
    <w:rsid w:val="001A4539"/>
    <w:rsid w:val="001A542F"/>
    <w:rsid w:val="001A567C"/>
    <w:rsid w:val="001A7019"/>
    <w:rsid w:val="001B12FD"/>
    <w:rsid w:val="001B15A3"/>
    <w:rsid w:val="001B29A7"/>
    <w:rsid w:val="001B38ED"/>
    <w:rsid w:val="001B5601"/>
    <w:rsid w:val="001B6A46"/>
    <w:rsid w:val="001C064E"/>
    <w:rsid w:val="001C2CE0"/>
    <w:rsid w:val="001D0C90"/>
    <w:rsid w:val="001D1D68"/>
    <w:rsid w:val="001D5F4F"/>
    <w:rsid w:val="001D7369"/>
    <w:rsid w:val="001D75B2"/>
    <w:rsid w:val="001E12FC"/>
    <w:rsid w:val="001E188D"/>
    <w:rsid w:val="001E330B"/>
    <w:rsid w:val="001E4253"/>
    <w:rsid w:val="001E42CC"/>
    <w:rsid w:val="001E55F4"/>
    <w:rsid w:val="001E57F9"/>
    <w:rsid w:val="001E5B38"/>
    <w:rsid w:val="001E74A0"/>
    <w:rsid w:val="001E7B00"/>
    <w:rsid w:val="001F0BBC"/>
    <w:rsid w:val="001F183D"/>
    <w:rsid w:val="001F47F5"/>
    <w:rsid w:val="001F5C37"/>
    <w:rsid w:val="001F7524"/>
    <w:rsid w:val="001F7714"/>
    <w:rsid w:val="001F7A4F"/>
    <w:rsid w:val="00203F62"/>
    <w:rsid w:val="00204067"/>
    <w:rsid w:val="00204563"/>
    <w:rsid w:val="002050F9"/>
    <w:rsid w:val="002058BD"/>
    <w:rsid w:val="002059AF"/>
    <w:rsid w:val="00205DE4"/>
    <w:rsid w:val="0020762A"/>
    <w:rsid w:val="0021389A"/>
    <w:rsid w:val="002142EF"/>
    <w:rsid w:val="00214BE9"/>
    <w:rsid w:val="00214FBA"/>
    <w:rsid w:val="0022253A"/>
    <w:rsid w:val="00224E0B"/>
    <w:rsid w:val="00225448"/>
    <w:rsid w:val="002261E8"/>
    <w:rsid w:val="00236198"/>
    <w:rsid w:val="00236B66"/>
    <w:rsid w:val="002407CF"/>
    <w:rsid w:val="00240836"/>
    <w:rsid w:val="00240B77"/>
    <w:rsid w:val="0024159D"/>
    <w:rsid w:val="00242018"/>
    <w:rsid w:val="0024265F"/>
    <w:rsid w:val="0024271C"/>
    <w:rsid w:val="002430B8"/>
    <w:rsid w:val="00243135"/>
    <w:rsid w:val="002436E6"/>
    <w:rsid w:val="00243B81"/>
    <w:rsid w:val="00247741"/>
    <w:rsid w:val="00250983"/>
    <w:rsid w:val="00250D30"/>
    <w:rsid w:val="0025177F"/>
    <w:rsid w:val="0025213E"/>
    <w:rsid w:val="00255880"/>
    <w:rsid w:val="0025780C"/>
    <w:rsid w:val="002603CB"/>
    <w:rsid w:val="0026282B"/>
    <w:rsid w:val="00264344"/>
    <w:rsid w:val="00270F26"/>
    <w:rsid w:val="002712B3"/>
    <w:rsid w:val="0027149B"/>
    <w:rsid w:val="002737F3"/>
    <w:rsid w:val="002743EA"/>
    <w:rsid w:val="00275632"/>
    <w:rsid w:val="00280170"/>
    <w:rsid w:val="002808F8"/>
    <w:rsid w:val="00281241"/>
    <w:rsid w:val="0028394E"/>
    <w:rsid w:val="00285D85"/>
    <w:rsid w:val="00287669"/>
    <w:rsid w:val="00287805"/>
    <w:rsid w:val="00287F90"/>
    <w:rsid w:val="00292BB1"/>
    <w:rsid w:val="0029382F"/>
    <w:rsid w:val="0029412D"/>
    <w:rsid w:val="0029460C"/>
    <w:rsid w:val="00294BCF"/>
    <w:rsid w:val="002957C2"/>
    <w:rsid w:val="00296120"/>
    <w:rsid w:val="00296266"/>
    <w:rsid w:val="00297781"/>
    <w:rsid w:val="002A13FE"/>
    <w:rsid w:val="002A26A6"/>
    <w:rsid w:val="002A2AA1"/>
    <w:rsid w:val="002A43A6"/>
    <w:rsid w:val="002A43C0"/>
    <w:rsid w:val="002A592D"/>
    <w:rsid w:val="002B0F38"/>
    <w:rsid w:val="002B412E"/>
    <w:rsid w:val="002B679F"/>
    <w:rsid w:val="002B7E98"/>
    <w:rsid w:val="002C2BA2"/>
    <w:rsid w:val="002C30C3"/>
    <w:rsid w:val="002D0328"/>
    <w:rsid w:val="002D30A0"/>
    <w:rsid w:val="002D3C81"/>
    <w:rsid w:val="002D6B47"/>
    <w:rsid w:val="002D6CD0"/>
    <w:rsid w:val="002D6CF1"/>
    <w:rsid w:val="002D7D72"/>
    <w:rsid w:val="002E305F"/>
    <w:rsid w:val="002E312D"/>
    <w:rsid w:val="002F0B16"/>
    <w:rsid w:val="002F0E8D"/>
    <w:rsid w:val="002F4AD7"/>
    <w:rsid w:val="002F622C"/>
    <w:rsid w:val="002F6898"/>
    <w:rsid w:val="002F79DD"/>
    <w:rsid w:val="00301E4E"/>
    <w:rsid w:val="003044D1"/>
    <w:rsid w:val="003051AE"/>
    <w:rsid w:val="0030708B"/>
    <w:rsid w:val="00310E95"/>
    <w:rsid w:val="003128FE"/>
    <w:rsid w:val="00312A67"/>
    <w:rsid w:val="003146F4"/>
    <w:rsid w:val="00314FAD"/>
    <w:rsid w:val="00315A75"/>
    <w:rsid w:val="003164F4"/>
    <w:rsid w:val="00316535"/>
    <w:rsid w:val="00316CE6"/>
    <w:rsid w:val="0031789D"/>
    <w:rsid w:val="003226C4"/>
    <w:rsid w:val="00325924"/>
    <w:rsid w:val="00325928"/>
    <w:rsid w:val="003336F5"/>
    <w:rsid w:val="003337BF"/>
    <w:rsid w:val="00335673"/>
    <w:rsid w:val="00335A5C"/>
    <w:rsid w:val="00335BFA"/>
    <w:rsid w:val="003370ED"/>
    <w:rsid w:val="00341666"/>
    <w:rsid w:val="003418DC"/>
    <w:rsid w:val="00341C04"/>
    <w:rsid w:val="00346491"/>
    <w:rsid w:val="00350FB4"/>
    <w:rsid w:val="0035254B"/>
    <w:rsid w:val="00352B0B"/>
    <w:rsid w:val="00354503"/>
    <w:rsid w:val="003548B9"/>
    <w:rsid w:val="00356805"/>
    <w:rsid w:val="00356978"/>
    <w:rsid w:val="003601EC"/>
    <w:rsid w:val="003619B3"/>
    <w:rsid w:val="00363972"/>
    <w:rsid w:val="003644EC"/>
    <w:rsid w:val="00370EBF"/>
    <w:rsid w:val="0037122E"/>
    <w:rsid w:val="00372CDB"/>
    <w:rsid w:val="00374780"/>
    <w:rsid w:val="00375B98"/>
    <w:rsid w:val="00375D6D"/>
    <w:rsid w:val="00380657"/>
    <w:rsid w:val="00383E1C"/>
    <w:rsid w:val="00384E6D"/>
    <w:rsid w:val="003863E9"/>
    <w:rsid w:val="00387AE8"/>
    <w:rsid w:val="00387B32"/>
    <w:rsid w:val="00392849"/>
    <w:rsid w:val="00392F46"/>
    <w:rsid w:val="00397C21"/>
    <w:rsid w:val="003A0DB4"/>
    <w:rsid w:val="003A2F45"/>
    <w:rsid w:val="003A34AA"/>
    <w:rsid w:val="003A4299"/>
    <w:rsid w:val="003A542D"/>
    <w:rsid w:val="003A5B3F"/>
    <w:rsid w:val="003B06E9"/>
    <w:rsid w:val="003B0AB6"/>
    <w:rsid w:val="003B1AF3"/>
    <w:rsid w:val="003B5310"/>
    <w:rsid w:val="003B596E"/>
    <w:rsid w:val="003B73A6"/>
    <w:rsid w:val="003C156A"/>
    <w:rsid w:val="003D3B6C"/>
    <w:rsid w:val="003D3E6D"/>
    <w:rsid w:val="003D48A3"/>
    <w:rsid w:val="003D5BC9"/>
    <w:rsid w:val="003D5CC9"/>
    <w:rsid w:val="003D6146"/>
    <w:rsid w:val="003D6889"/>
    <w:rsid w:val="003D6D87"/>
    <w:rsid w:val="003E0133"/>
    <w:rsid w:val="003E0E9C"/>
    <w:rsid w:val="003E109C"/>
    <w:rsid w:val="003E1E51"/>
    <w:rsid w:val="003E3AE0"/>
    <w:rsid w:val="003E79C9"/>
    <w:rsid w:val="003F5325"/>
    <w:rsid w:val="003F685B"/>
    <w:rsid w:val="003F6E03"/>
    <w:rsid w:val="003F7300"/>
    <w:rsid w:val="004006F4"/>
    <w:rsid w:val="004008AF"/>
    <w:rsid w:val="00400BCB"/>
    <w:rsid w:val="0040109B"/>
    <w:rsid w:val="00401855"/>
    <w:rsid w:val="00401E42"/>
    <w:rsid w:val="0040426B"/>
    <w:rsid w:val="004053A2"/>
    <w:rsid w:val="00405895"/>
    <w:rsid w:val="00405E5A"/>
    <w:rsid w:val="00406DE5"/>
    <w:rsid w:val="00412255"/>
    <w:rsid w:val="00413EDC"/>
    <w:rsid w:val="004150D9"/>
    <w:rsid w:val="00415A75"/>
    <w:rsid w:val="00415D26"/>
    <w:rsid w:val="00420178"/>
    <w:rsid w:val="00420C9B"/>
    <w:rsid w:val="0042145E"/>
    <w:rsid w:val="00422000"/>
    <w:rsid w:val="004227C0"/>
    <w:rsid w:val="00422E04"/>
    <w:rsid w:val="004236DF"/>
    <w:rsid w:val="00427131"/>
    <w:rsid w:val="00430DBE"/>
    <w:rsid w:val="004317C9"/>
    <w:rsid w:val="00432D08"/>
    <w:rsid w:val="004350D7"/>
    <w:rsid w:val="0043568D"/>
    <w:rsid w:val="00436282"/>
    <w:rsid w:val="00436571"/>
    <w:rsid w:val="00441561"/>
    <w:rsid w:val="00444EAA"/>
    <w:rsid w:val="004463C7"/>
    <w:rsid w:val="0044651E"/>
    <w:rsid w:val="00447B04"/>
    <w:rsid w:val="0045100A"/>
    <w:rsid w:val="004520D4"/>
    <w:rsid w:val="00452251"/>
    <w:rsid w:val="00453022"/>
    <w:rsid w:val="00454F3A"/>
    <w:rsid w:val="00455895"/>
    <w:rsid w:val="00456AB2"/>
    <w:rsid w:val="004575F1"/>
    <w:rsid w:val="00457E8F"/>
    <w:rsid w:val="00462246"/>
    <w:rsid w:val="00462373"/>
    <w:rsid w:val="00463097"/>
    <w:rsid w:val="00463456"/>
    <w:rsid w:val="0046376D"/>
    <w:rsid w:val="00463D54"/>
    <w:rsid w:val="004656FF"/>
    <w:rsid w:val="00467110"/>
    <w:rsid w:val="004674E5"/>
    <w:rsid w:val="00471383"/>
    <w:rsid w:val="004713E8"/>
    <w:rsid w:val="004716D9"/>
    <w:rsid w:val="00474321"/>
    <w:rsid w:val="0047480E"/>
    <w:rsid w:val="00477323"/>
    <w:rsid w:val="004803E4"/>
    <w:rsid w:val="0048081F"/>
    <w:rsid w:val="00482932"/>
    <w:rsid w:val="004837D2"/>
    <w:rsid w:val="00484237"/>
    <w:rsid w:val="00485256"/>
    <w:rsid w:val="00485727"/>
    <w:rsid w:val="004859E3"/>
    <w:rsid w:val="0048681E"/>
    <w:rsid w:val="00486CA7"/>
    <w:rsid w:val="00495394"/>
    <w:rsid w:val="00497027"/>
    <w:rsid w:val="0049766A"/>
    <w:rsid w:val="00497C47"/>
    <w:rsid w:val="004A0724"/>
    <w:rsid w:val="004A1F68"/>
    <w:rsid w:val="004A3A2B"/>
    <w:rsid w:val="004A76C7"/>
    <w:rsid w:val="004B0E33"/>
    <w:rsid w:val="004B1104"/>
    <w:rsid w:val="004B2562"/>
    <w:rsid w:val="004B3F3C"/>
    <w:rsid w:val="004B3FCB"/>
    <w:rsid w:val="004B4267"/>
    <w:rsid w:val="004B4D28"/>
    <w:rsid w:val="004B5A4C"/>
    <w:rsid w:val="004B65DC"/>
    <w:rsid w:val="004C0649"/>
    <w:rsid w:val="004C294F"/>
    <w:rsid w:val="004C5514"/>
    <w:rsid w:val="004C5C1C"/>
    <w:rsid w:val="004C755E"/>
    <w:rsid w:val="004D0A6C"/>
    <w:rsid w:val="004D281E"/>
    <w:rsid w:val="004D4A74"/>
    <w:rsid w:val="004D4FBF"/>
    <w:rsid w:val="004D5F8B"/>
    <w:rsid w:val="004D7AA1"/>
    <w:rsid w:val="004E207E"/>
    <w:rsid w:val="004E2DFB"/>
    <w:rsid w:val="004E4856"/>
    <w:rsid w:val="004E5771"/>
    <w:rsid w:val="004E6534"/>
    <w:rsid w:val="004F1181"/>
    <w:rsid w:val="004F30E3"/>
    <w:rsid w:val="004F42C4"/>
    <w:rsid w:val="004F4E9E"/>
    <w:rsid w:val="004F4FA5"/>
    <w:rsid w:val="004F52CD"/>
    <w:rsid w:val="004F5F9C"/>
    <w:rsid w:val="004F6CC2"/>
    <w:rsid w:val="004F6D7D"/>
    <w:rsid w:val="004F6F72"/>
    <w:rsid w:val="00501416"/>
    <w:rsid w:val="00501DF6"/>
    <w:rsid w:val="00502556"/>
    <w:rsid w:val="00502DB9"/>
    <w:rsid w:val="00502ECB"/>
    <w:rsid w:val="00504EBC"/>
    <w:rsid w:val="005074EC"/>
    <w:rsid w:val="00510933"/>
    <w:rsid w:val="00511458"/>
    <w:rsid w:val="0051576D"/>
    <w:rsid w:val="00515F1C"/>
    <w:rsid w:val="005210D3"/>
    <w:rsid w:val="005217FE"/>
    <w:rsid w:val="005242CD"/>
    <w:rsid w:val="00524331"/>
    <w:rsid w:val="00524FF9"/>
    <w:rsid w:val="005254A1"/>
    <w:rsid w:val="0053290D"/>
    <w:rsid w:val="005329AE"/>
    <w:rsid w:val="00534992"/>
    <w:rsid w:val="00536F4F"/>
    <w:rsid w:val="00537488"/>
    <w:rsid w:val="005400DD"/>
    <w:rsid w:val="00541216"/>
    <w:rsid w:val="005446C5"/>
    <w:rsid w:val="00545885"/>
    <w:rsid w:val="00545CAD"/>
    <w:rsid w:val="00546935"/>
    <w:rsid w:val="00547DC1"/>
    <w:rsid w:val="0055599D"/>
    <w:rsid w:val="00556960"/>
    <w:rsid w:val="005573E6"/>
    <w:rsid w:val="005600F8"/>
    <w:rsid w:val="00560B81"/>
    <w:rsid w:val="00562563"/>
    <w:rsid w:val="00562E53"/>
    <w:rsid w:val="00562E9D"/>
    <w:rsid w:val="00565365"/>
    <w:rsid w:val="005653E2"/>
    <w:rsid w:val="00566BF4"/>
    <w:rsid w:val="00571737"/>
    <w:rsid w:val="00572260"/>
    <w:rsid w:val="00572CF1"/>
    <w:rsid w:val="0057476D"/>
    <w:rsid w:val="00577367"/>
    <w:rsid w:val="0058054C"/>
    <w:rsid w:val="00581251"/>
    <w:rsid w:val="00581362"/>
    <w:rsid w:val="00581AEE"/>
    <w:rsid w:val="0058250F"/>
    <w:rsid w:val="00584699"/>
    <w:rsid w:val="00584835"/>
    <w:rsid w:val="00585530"/>
    <w:rsid w:val="00585F3A"/>
    <w:rsid w:val="0059087A"/>
    <w:rsid w:val="005918F9"/>
    <w:rsid w:val="005937F1"/>
    <w:rsid w:val="00594B1F"/>
    <w:rsid w:val="00597B96"/>
    <w:rsid w:val="00597F94"/>
    <w:rsid w:val="005A0DE6"/>
    <w:rsid w:val="005A1609"/>
    <w:rsid w:val="005A2268"/>
    <w:rsid w:val="005A49CB"/>
    <w:rsid w:val="005A71E8"/>
    <w:rsid w:val="005B37DA"/>
    <w:rsid w:val="005B4CA0"/>
    <w:rsid w:val="005B4DEB"/>
    <w:rsid w:val="005B68C9"/>
    <w:rsid w:val="005B6E49"/>
    <w:rsid w:val="005C11A4"/>
    <w:rsid w:val="005C243C"/>
    <w:rsid w:val="005C2812"/>
    <w:rsid w:val="005C3769"/>
    <w:rsid w:val="005C4654"/>
    <w:rsid w:val="005C5206"/>
    <w:rsid w:val="005C5AA7"/>
    <w:rsid w:val="005C5EF8"/>
    <w:rsid w:val="005D0BC6"/>
    <w:rsid w:val="005D12D7"/>
    <w:rsid w:val="005D2519"/>
    <w:rsid w:val="005D298D"/>
    <w:rsid w:val="005D2E07"/>
    <w:rsid w:val="005E0235"/>
    <w:rsid w:val="005E216A"/>
    <w:rsid w:val="005E4042"/>
    <w:rsid w:val="005E6F78"/>
    <w:rsid w:val="005F3487"/>
    <w:rsid w:val="005F3B22"/>
    <w:rsid w:val="005F44EA"/>
    <w:rsid w:val="005F6E44"/>
    <w:rsid w:val="005F78BF"/>
    <w:rsid w:val="00600C58"/>
    <w:rsid w:val="0060142A"/>
    <w:rsid w:val="00602260"/>
    <w:rsid w:val="00604D5C"/>
    <w:rsid w:val="0060547A"/>
    <w:rsid w:val="00605AB3"/>
    <w:rsid w:val="00607E23"/>
    <w:rsid w:val="00620192"/>
    <w:rsid w:val="00621F6A"/>
    <w:rsid w:val="0062205B"/>
    <w:rsid w:val="00622730"/>
    <w:rsid w:val="00624750"/>
    <w:rsid w:val="00624A80"/>
    <w:rsid w:val="00624EB6"/>
    <w:rsid w:val="006257B8"/>
    <w:rsid w:val="006300C3"/>
    <w:rsid w:val="006314AF"/>
    <w:rsid w:val="00631DAC"/>
    <w:rsid w:val="00631F7D"/>
    <w:rsid w:val="00632D43"/>
    <w:rsid w:val="006341A3"/>
    <w:rsid w:val="00634BFB"/>
    <w:rsid w:val="00635047"/>
    <w:rsid w:val="006437A2"/>
    <w:rsid w:val="00643B37"/>
    <w:rsid w:val="00644B8F"/>
    <w:rsid w:val="00646A29"/>
    <w:rsid w:val="006472DD"/>
    <w:rsid w:val="00650766"/>
    <w:rsid w:val="00651A71"/>
    <w:rsid w:val="00653051"/>
    <w:rsid w:val="00653E30"/>
    <w:rsid w:val="00655E1D"/>
    <w:rsid w:val="0065628D"/>
    <w:rsid w:val="00657A24"/>
    <w:rsid w:val="00657E39"/>
    <w:rsid w:val="006609B0"/>
    <w:rsid w:val="00664333"/>
    <w:rsid w:val="00665254"/>
    <w:rsid w:val="006653A9"/>
    <w:rsid w:val="00665B58"/>
    <w:rsid w:val="0066669F"/>
    <w:rsid w:val="00667E64"/>
    <w:rsid w:val="00671C27"/>
    <w:rsid w:val="00671DE2"/>
    <w:rsid w:val="00671EB1"/>
    <w:rsid w:val="00673989"/>
    <w:rsid w:val="006748B1"/>
    <w:rsid w:val="00675531"/>
    <w:rsid w:val="006758DE"/>
    <w:rsid w:val="006770FF"/>
    <w:rsid w:val="00677517"/>
    <w:rsid w:val="0068159E"/>
    <w:rsid w:val="00684298"/>
    <w:rsid w:val="00685689"/>
    <w:rsid w:val="00686DFB"/>
    <w:rsid w:val="00687A62"/>
    <w:rsid w:val="006906E4"/>
    <w:rsid w:val="00694ABB"/>
    <w:rsid w:val="0069564F"/>
    <w:rsid w:val="006956F8"/>
    <w:rsid w:val="00696178"/>
    <w:rsid w:val="006A36DE"/>
    <w:rsid w:val="006A3F4C"/>
    <w:rsid w:val="006A7E1B"/>
    <w:rsid w:val="006B1451"/>
    <w:rsid w:val="006B4EEA"/>
    <w:rsid w:val="006B6B6E"/>
    <w:rsid w:val="006B71F6"/>
    <w:rsid w:val="006C209C"/>
    <w:rsid w:val="006C2349"/>
    <w:rsid w:val="006C6E46"/>
    <w:rsid w:val="006D2C63"/>
    <w:rsid w:val="006D3A90"/>
    <w:rsid w:val="006D3E49"/>
    <w:rsid w:val="006D3F85"/>
    <w:rsid w:val="006D4F53"/>
    <w:rsid w:val="006D5EFB"/>
    <w:rsid w:val="006D7F91"/>
    <w:rsid w:val="006E027D"/>
    <w:rsid w:val="006E130E"/>
    <w:rsid w:val="006E1D32"/>
    <w:rsid w:val="006E27EE"/>
    <w:rsid w:val="006E335A"/>
    <w:rsid w:val="006E3C7E"/>
    <w:rsid w:val="006E416A"/>
    <w:rsid w:val="006E5E22"/>
    <w:rsid w:val="006E67A2"/>
    <w:rsid w:val="006E6B65"/>
    <w:rsid w:val="006F06E4"/>
    <w:rsid w:val="006F0850"/>
    <w:rsid w:val="006F0D8B"/>
    <w:rsid w:val="006F1B03"/>
    <w:rsid w:val="006F2DEB"/>
    <w:rsid w:val="006F47C8"/>
    <w:rsid w:val="006F67A9"/>
    <w:rsid w:val="006F6B3F"/>
    <w:rsid w:val="006F7302"/>
    <w:rsid w:val="00701A50"/>
    <w:rsid w:val="00702376"/>
    <w:rsid w:val="0070262A"/>
    <w:rsid w:val="00703B7F"/>
    <w:rsid w:val="0070515B"/>
    <w:rsid w:val="007070F8"/>
    <w:rsid w:val="00710B0D"/>
    <w:rsid w:val="00710B29"/>
    <w:rsid w:val="00711023"/>
    <w:rsid w:val="00713787"/>
    <w:rsid w:val="00713BC9"/>
    <w:rsid w:val="00714B9D"/>
    <w:rsid w:val="00715C1B"/>
    <w:rsid w:val="00716142"/>
    <w:rsid w:val="00717A98"/>
    <w:rsid w:val="00720730"/>
    <w:rsid w:val="00724261"/>
    <w:rsid w:val="00726B0C"/>
    <w:rsid w:val="007279E8"/>
    <w:rsid w:val="00727CA9"/>
    <w:rsid w:val="00730693"/>
    <w:rsid w:val="00730B99"/>
    <w:rsid w:val="007378A8"/>
    <w:rsid w:val="0074161C"/>
    <w:rsid w:val="00741881"/>
    <w:rsid w:val="00741F26"/>
    <w:rsid w:val="00744887"/>
    <w:rsid w:val="00744F3A"/>
    <w:rsid w:val="007476D2"/>
    <w:rsid w:val="0075118F"/>
    <w:rsid w:val="00751DC5"/>
    <w:rsid w:val="0075266C"/>
    <w:rsid w:val="00753097"/>
    <w:rsid w:val="007551C1"/>
    <w:rsid w:val="00755423"/>
    <w:rsid w:val="00757A04"/>
    <w:rsid w:val="0076004C"/>
    <w:rsid w:val="007615FC"/>
    <w:rsid w:val="00763E3F"/>
    <w:rsid w:val="00770FF5"/>
    <w:rsid w:val="00780116"/>
    <w:rsid w:val="00781181"/>
    <w:rsid w:val="00785380"/>
    <w:rsid w:val="00785EA4"/>
    <w:rsid w:val="00786E8D"/>
    <w:rsid w:val="007876FF"/>
    <w:rsid w:val="007930C6"/>
    <w:rsid w:val="007943B5"/>
    <w:rsid w:val="00794AB4"/>
    <w:rsid w:val="007A0102"/>
    <w:rsid w:val="007A1264"/>
    <w:rsid w:val="007A25B4"/>
    <w:rsid w:val="007A414F"/>
    <w:rsid w:val="007A5913"/>
    <w:rsid w:val="007A5D0C"/>
    <w:rsid w:val="007A5EFB"/>
    <w:rsid w:val="007A60BF"/>
    <w:rsid w:val="007B2764"/>
    <w:rsid w:val="007B284A"/>
    <w:rsid w:val="007B695E"/>
    <w:rsid w:val="007B6C80"/>
    <w:rsid w:val="007C128F"/>
    <w:rsid w:val="007C1E15"/>
    <w:rsid w:val="007C2D10"/>
    <w:rsid w:val="007C50ED"/>
    <w:rsid w:val="007C5358"/>
    <w:rsid w:val="007C56A2"/>
    <w:rsid w:val="007C6466"/>
    <w:rsid w:val="007C6468"/>
    <w:rsid w:val="007D0015"/>
    <w:rsid w:val="007D03F9"/>
    <w:rsid w:val="007D08D2"/>
    <w:rsid w:val="007D0C30"/>
    <w:rsid w:val="007D2834"/>
    <w:rsid w:val="007D2DB3"/>
    <w:rsid w:val="007D480B"/>
    <w:rsid w:val="007D6220"/>
    <w:rsid w:val="007D68D7"/>
    <w:rsid w:val="007E15DE"/>
    <w:rsid w:val="007E3074"/>
    <w:rsid w:val="007E6543"/>
    <w:rsid w:val="007E7563"/>
    <w:rsid w:val="007E7B31"/>
    <w:rsid w:val="007F0E32"/>
    <w:rsid w:val="007F107F"/>
    <w:rsid w:val="007F1A48"/>
    <w:rsid w:val="007F5509"/>
    <w:rsid w:val="007F5971"/>
    <w:rsid w:val="007F65AF"/>
    <w:rsid w:val="007F6BE3"/>
    <w:rsid w:val="00800D56"/>
    <w:rsid w:val="00802126"/>
    <w:rsid w:val="008037C6"/>
    <w:rsid w:val="008054D2"/>
    <w:rsid w:val="008058EB"/>
    <w:rsid w:val="00810375"/>
    <w:rsid w:val="0081165A"/>
    <w:rsid w:val="008162D9"/>
    <w:rsid w:val="008165B4"/>
    <w:rsid w:val="00823877"/>
    <w:rsid w:val="008255A3"/>
    <w:rsid w:val="0082602B"/>
    <w:rsid w:val="00826258"/>
    <w:rsid w:val="008325F8"/>
    <w:rsid w:val="00836AFE"/>
    <w:rsid w:val="00836BB7"/>
    <w:rsid w:val="00840E0E"/>
    <w:rsid w:val="00841A11"/>
    <w:rsid w:val="00843168"/>
    <w:rsid w:val="0084353A"/>
    <w:rsid w:val="008463E1"/>
    <w:rsid w:val="00847A17"/>
    <w:rsid w:val="00852BDB"/>
    <w:rsid w:val="008544CD"/>
    <w:rsid w:val="008546D4"/>
    <w:rsid w:val="00854B60"/>
    <w:rsid w:val="00855803"/>
    <w:rsid w:val="0085695B"/>
    <w:rsid w:val="00862085"/>
    <w:rsid w:val="00862EE8"/>
    <w:rsid w:val="00865EE4"/>
    <w:rsid w:val="00870367"/>
    <w:rsid w:val="00870B15"/>
    <w:rsid w:val="008737BD"/>
    <w:rsid w:val="00874E5F"/>
    <w:rsid w:val="008750E0"/>
    <w:rsid w:val="0087590E"/>
    <w:rsid w:val="008768FD"/>
    <w:rsid w:val="00876BA2"/>
    <w:rsid w:val="008778CC"/>
    <w:rsid w:val="00880E57"/>
    <w:rsid w:val="00882E7F"/>
    <w:rsid w:val="008862C7"/>
    <w:rsid w:val="00886C9B"/>
    <w:rsid w:val="008871E4"/>
    <w:rsid w:val="008875CD"/>
    <w:rsid w:val="008903A0"/>
    <w:rsid w:val="0089148B"/>
    <w:rsid w:val="00892914"/>
    <w:rsid w:val="00892D52"/>
    <w:rsid w:val="008931E4"/>
    <w:rsid w:val="00894F3F"/>
    <w:rsid w:val="00896D27"/>
    <w:rsid w:val="008A3029"/>
    <w:rsid w:val="008A5399"/>
    <w:rsid w:val="008A6EB5"/>
    <w:rsid w:val="008A739F"/>
    <w:rsid w:val="008A762B"/>
    <w:rsid w:val="008B303F"/>
    <w:rsid w:val="008B383A"/>
    <w:rsid w:val="008B3D21"/>
    <w:rsid w:val="008B6C10"/>
    <w:rsid w:val="008B6D46"/>
    <w:rsid w:val="008B774A"/>
    <w:rsid w:val="008C07A5"/>
    <w:rsid w:val="008C13F7"/>
    <w:rsid w:val="008C1B27"/>
    <w:rsid w:val="008C3EEF"/>
    <w:rsid w:val="008C4C8D"/>
    <w:rsid w:val="008C7004"/>
    <w:rsid w:val="008C7B0C"/>
    <w:rsid w:val="008D1069"/>
    <w:rsid w:val="008D12B5"/>
    <w:rsid w:val="008D3DA9"/>
    <w:rsid w:val="008D423B"/>
    <w:rsid w:val="008D6461"/>
    <w:rsid w:val="008D68DB"/>
    <w:rsid w:val="008E0FC3"/>
    <w:rsid w:val="008E4186"/>
    <w:rsid w:val="008F381B"/>
    <w:rsid w:val="008F5C12"/>
    <w:rsid w:val="00902DE5"/>
    <w:rsid w:val="009065B2"/>
    <w:rsid w:val="009068A0"/>
    <w:rsid w:val="00907CD5"/>
    <w:rsid w:val="00907EF2"/>
    <w:rsid w:val="00910575"/>
    <w:rsid w:val="009118CD"/>
    <w:rsid w:val="00913AF8"/>
    <w:rsid w:val="009158E6"/>
    <w:rsid w:val="0091720A"/>
    <w:rsid w:val="00917DD8"/>
    <w:rsid w:val="00923421"/>
    <w:rsid w:val="00923B0F"/>
    <w:rsid w:val="00925622"/>
    <w:rsid w:val="009275BB"/>
    <w:rsid w:val="0093194C"/>
    <w:rsid w:val="009324A6"/>
    <w:rsid w:val="00932888"/>
    <w:rsid w:val="00932F1B"/>
    <w:rsid w:val="00934244"/>
    <w:rsid w:val="00935168"/>
    <w:rsid w:val="0093616B"/>
    <w:rsid w:val="00937DDD"/>
    <w:rsid w:val="0094008A"/>
    <w:rsid w:val="00942415"/>
    <w:rsid w:val="00942918"/>
    <w:rsid w:val="00944294"/>
    <w:rsid w:val="00945423"/>
    <w:rsid w:val="009473BE"/>
    <w:rsid w:val="00951AD0"/>
    <w:rsid w:val="00952578"/>
    <w:rsid w:val="00952DF0"/>
    <w:rsid w:val="0095383E"/>
    <w:rsid w:val="00955FC0"/>
    <w:rsid w:val="009563BC"/>
    <w:rsid w:val="00957914"/>
    <w:rsid w:val="00960F0F"/>
    <w:rsid w:val="009618E3"/>
    <w:rsid w:val="00964EC8"/>
    <w:rsid w:val="00964F1E"/>
    <w:rsid w:val="00965278"/>
    <w:rsid w:val="00966AB4"/>
    <w:rsid w:val="009673E5"/>
    <w:rsid w:val="00967F53"/>
    <w:rsid w:val="009738A1"/>
    <w:rsid w:val="009754ED"/>
    <w:rsid w:val="009772B1"/>
    <w:rsid w:val="0097772B"/>
    <w:rsid w:val="00986E74"/>
    <w:rsid w:val="00986FE8"/>
    <w:rsid w:val="00990F3D"/>
    <w:rsid w:val="00991629"/>
    <w:rsid w:val="009917AF"/>
    <w:rsid w:val="00993449"/>
    <w:rsid w:val="00994DA4"/>
    <w:rsid w:val="00995C9E"/>
    <w:rsid w:val="00997BFC"/>
    <w:rsid w:val="009A048C"/>
    <w:rsid w:val="009A126A"/>
    <w:rsid w:val="009A2326"/>
    <w:rsid w:val="009A37B7"/>
    <w:rsid w:val="009A3DD3"/>
    <w:rsid w:val="009A49B6"/>
    <w:rsid w:val="009A5C36"/>
    <w:rsid w:val="009A7819"/>
    <w:rsid w:val="009B297D"/>
    <w:rsid w:val="009B5ABD"/>
    <w:rsid w:val="009B5EEC"/>
    <w:rsid w:val="009B7197"/>
    <w:rsid w:val="009B79F6"/>
    <w:rsid w:val="009C0105"/>
    <w:rsid w:val="009C0F6C"/>
    <w:rsid w:val="009C1305"/>
    <w:rsid w:val="009C1DF1"/>
    <w:rsid w:val="009C2857"/>
    <w:rsid w:val="009C59CF"/>
    <w:rsid w:val="009C5C22"/>
    <w:rsid w:val="009C5F1D"/>
    <w:rsid w:val="009C6D77"/>
    <w:rsid w:val="009C6F47"/>
    <w:rsid w:val="009D0D0D"/>
    <w:rsid w:val="009D172C"/>
    <w:rsid w:val="009D3C4B"/>
    <w:rsid w:val="009D6A3B"/>
    <w:rsid w:val="009E0DBD"/>
    <w:rsid w:val="009E1D97"/>
    <w:rsid w:val="009E361F"/>
    <w:rsid w:val="009E3FB1"/>
    <w:rsid w:val="009E79D1"/>
    <w:rsid w:val="009E7F63"/>
    <w:rsid w:val="009F0F15"/>
    <w:rsid w:val="009F13A6"/>
    <w:rsid w:val="009F3159"/>
    <w:rsid w:val="009F4562"/>
    <w:rsid w:val="009F4CD1"/>
    <w:rsid w:val="009F5DE1"/>
    <w:rsid w:val="009F6454"/>
    <w:rsid w:val="00A058AC"/>
    <w:rsid w:val="00A07697"/>
    <w:rsid w:val="00A109EB"/>
    <w:rsid w:val="00A12305"/>
    <w:rsid w:val="00A132F2"/>
    <w:rsid w:val="00A15AFF"/>
    <w:rsid w:val="00A15BB8"/>
    <w:rsid w:val="00A15BEA"/>
    <w:rsid w:val="00A17118"/>
    <w:rsid w:val="00A17527"/>
    <w:rsid w:val="00A20691"/>
    <w:rsid w:val="00A20DD6"/>
    <w:rsid w:val="00A224E9"/>
    <w:rsid w:val="00A23D3C"/>
    <w:rsid w:val="00A24610"/>
    <w:rsid w:val="00A26147"/>
    <w:rsid w:val="00A26391"/>
    <w:rsid w:val="00A27824"/>
    <w:rsid w:val="00A27895"/>
    <w:rsid w:val="00A27BCB"/>
    <w:rsid w:val="00A32034"/>
    <w:rsid w:val="00A33909"/>
    <w:rsid w:val="00A33F9A"/>
    <w:rsid w:val="00A346B8"/>
    <w:rsid w:val="00A354B7"/>
    <w:rsid w:val="00A379CD"/>
    <w:rsid w:val="00A40284"/>
    <w:rsid w:val="00A4103D"/>
    <w:rsid w:val="00A427D2"/>
    <w:rsid w:val="00A44415"/>
    <w:rsid w:val="00A4475F"/>
    <w:rsid w:val="00A44ACB"/>
    <w:rsid w:val="00A44DB6"/>
    <w:rsid w:val="00A454F4"/>
    <w:rsid w:val="00A46550"/>
    <w:rsid w:val="00A47A8B"/>
    <w:rsid w:val="00A522C5"/>
    <w:rsid w:val="00A52B85"/>
    <w:rsid w:val="00A53A99"/>
    <w:rsid w:val="00A54FE0"/>
    <w:rsid w:val="00A60C91"/>
    <w:rsid w:val="00A622E0"/>
    <w:rsid w:val="00A6427B"/>
    <w:rsid w:val="00A65847"/>
    <w:rsid w:val="00A65AA0"/>
    <w:rsid w:val="00A70612"/>
    <w:rsid w:val="00A7293D"/>
    <w:rsid w:val="00A745C0"/>
    <w:rsid w:val="00A75748"/>
    <w:rsid w:val="00A77EBD"/>
    <w:rsid w:val="00A81146"/>
    <w:rsid w:val="00A81A34"/>
    <w:rsid w:val="00A81ED8"/>
    <w:rsid w:val="00A83DE9"/>
    <w:rsid w:val="00A8479E"/>
    <w:rsid w:val="00A8491C"/>
    <w:rsid w:val="00A85A73"/>
    <w:rsid w:val="00A87535"/>
    <w:rsid w:val="00A90339"/>
    <w:rsid w:val="00A910B7"/>
    <w:rsid w:val="00A92D33"/>
    <w:rsid w:val="00A93531"/>
    <w:rsid w:val="00A93779"/>
    <w:rsid w:val="00A94F10"/>
    <w:rsid w:val="00A95755"/>
    <w:rsid w:val="00A96F8C"/>
    <w:rsid w:val="00A97DE1"/>
    <w:rsid w:val="00AA09AE"/>
    <w:rsid w:val="00AA20B5"/>
    <w:rsid w:val="00AA2A76"/>
    <w:rsid w:val="00AA4350"/>
    <w:rsid w:val="00AA5AF8"/>
    <w:rsid w:val="00AA5DAC"/>
    <w:rsid w:val="00AB0174"/>
    <w:rsid w:val="00AB0B4D"/>
    <w:rsid w:val="00AB4557"/>
    <w:rsid w:val="00AB5BE3"/>
    <w:rsid w:val="00AC054E"/>
    <w:rsid w:val="00AC1A0C"/>
    <w:rsid w:val="00AC39C4"/>
    <w:rsid w:val="00AC7058"/>
    <w:rsid w:val="00AC7435"/>
    <w:rsid w:val="00AD0B56"/>
    <w:rsid w:val="00AD103E"/>
    <w:rsid w:val="00AD2535"/>
    <w:rsid w:val="00AD2EC1"/>
    <w:rsid w:val="00AD72F4"/>
    <w:rsid w:val="00AE0A8C"/>
    <w:rsid w:val="00AE1A53"/>
    <w:rsid w:val="00AE3016"/>
    <w:rsid w:val="00AE302F"/>
    <w:rsid w:val="00AE3112"/>
    <w:rsid w:val="00AE3800"/>
    <w:rsid w:val="00AE404D"/>
    <w:rsid w:val="00AE5141"/>
    <w:rsid w:val="00AE748F"/>
    <w:rsid w:val="00AF2C83"/>
    <w:rsid w:val="00AF2D00"/>
    <w:rsid w:val="00AF4A82"/>
    <w:rsid w:val="00AF5227"/>
    <w:rsid w:val="00B013A6"/>
    <w:rsid w:val="00B031D9"/>
    <w:rsid w:val="00B059AE"/>
    <w:rsid w:val="00B065EC"/>
    <w:rsid w:val="00B10212"/>
    <w:rsid w:val="00B1297A"/>
    <w:rsid w:val="00B129F6"/>
    <w:rsid w:val="00B14648"/>
    <w:rsid w:val="00B179D0"/>
    <w:rsid w:val="00B21166"/>
    <w:rsid w:val="00B24C59"/>
    <w:rsid w:val="00B25B26"/>
    <w:rsid w:val="00B27F83"/>
    <w:rsid w:val="00B31D55"/>
    <w:rsid w:val="00B331BF"/>
    <w:rsid w:val="00B34291"/>
    <w:rsid w:val="00B35B15"/>
    <w:rsid w:val="00B378C6"/>
    <w:rsid w:val="00B40D0A"/>
    <w:rsid w:val="00B40F4E"/>
    <w:rsid w:val="00B41EEA"/>
    <w:rsid w:val="00B4444C"/>
    <w:rsid w:val="00B47A17"/>
    <w:rsid w:val="00B51B7B"/>
    <w:rsid w:val="00B565C6"/>
    <w:rsid w:val="00B56C70"/>
    <w:rsid w:val="00B57B9B"/>
    <w:rsid w:val="00B57EE9"/>
    <w:rsid w:val="00B61B08"/>
    <w:rsid w:val="00B65A59"/>
    <w:rsid w:val="00B65EC7"/>
    <w:rsid w:val="00B66FFF"/>
    <w:rsid w:val="00B71BBA"/>
    <w:rsid w:val="00B71ECB"/>
    <w:rsid w:val="00B733BA"/>
    <w:rsid w:val="00B7370F"/>
    <w:rsid w:val="00B73C9E"/>
    <w:rsid w:val="00B74913"/>
    <w:rsid w:val="00B74FD3"/>
    <w:rsid w:val="00B7569F"/>
    <w:rsid w:val="00B75AF5"/>
    <w:rsid w:val="00B76E8E"/>
    <w:rsid w:val="00B817E9"/>
    <w:rsid w:val="00B827BA"/>
    <w:rsid w:val="00B8533C"/>
    <w:rsid w:val="00B863FC"/>
    <w:rsid w:val="00B87128"/>
    <w:rsid w:val="00B8771B"/>
    <w:rsid w:val="00B91E0A"/>
    <w:rsid w:val="00B92B44"/>
    <w:rsid w:val="00B930AD"/>
    <w:rsid w:val="00B93D81"/>
    <w:rsid w:val="00B97111"/>
    <w:rsid w:val="00BA12C0"/>
    <w:rsid w:val="00BA188F"/>
    <w:rsid w:val="00BA5639"/>
    <w:rsid w:val="00BB41AE"/>
    <w:rsid w:val="00BB5062"/>
    <w:rsid w:val="00BB7485"/>
    <w:rsid w:val="00BC0276"/>
    <w:rsid w:val="00BC03F1"/>
    <w:rsid w:val="00BC1817"/>
    <w:rsid w:val="00BC34F0"/>
    <w:rsid w:val="00BC47A9"/>
    <w:rsid w:val="00BC6C12"/>
    <w:rsid w:val="00BC738D"/>
    <w:rsid w:val="00BD2A7E"/>
    <w:rsid w:val="00BE018A"/>
    <w:rsid w:val="00BE380C"/>
    <w:rsid w:val="00BE384B"/>
    <w:rsid w:val="00BE3F31"/>
    <w:rsid w:val="00BE6BFB"/>
    <w:rsid w:val="00BF3892"/>
    <w:rsid w:val="00BF483C"/>
    <w:rsid w:val="00BF772D"/>
    <w:rsid w:val="00BF7F18"/>
    <w:rsid w:val="00C03791"/>
    <w:rsid w:val="00C112CD"/>
    <w:rsid w:val="00C12745"/>
    <w:rsid w:val="00C129CE"/>
    <w:rsid w:val="00C1304C"/>
    <w:rsid w:val="00C13CAA"/>
    <w:rsid w:val="00C1412C"/>
    <w:rsid w:val="00C169E1"/>
    <w:rsid w:val="00C17A17"/>
    <w:rsid w:val="00C20595"/>
    <w:rsid w:val="00C268DC"/>
    <w:rsid w:val="00C270B5"/>
    <w:rsid w:val="00C310C9"/>
    <w:rsid w:val="00C3339C"/>
    <w:rsid w:val="00C3398E"/>
    <w:rsid w:val="00C34A00"/>
    <w:rsid w:val="00C3706D"/>
    <w:rsid w:val="00C37D24"/>
    <w:rsid w:val="00C4019B"/>
    <w:rsid w:val="00C41E93"/>
    <w:rsid w:val="00C42167"/>
    <w:rsid w:val="00C42525"/>
    <w:rsid w:val="00C430F8"/>
    <w:rsid w:val="00C43DDC"/>
    <w:rsid w:val="00C44540"/>
    <w:rsid w:val="00C446B9"/>
    <w:rsid w:val="00C45E65"/>
    <w:rsid w:val="00C46C4E"/>
    <w:rsid w:val="00C477F2"/>
    <w:rsid w:val="00C51190"/>
    <w:rsid w:val="00C51545"/>
    <w:rsid w:val="00C516D6"/>
    <w:rsid w:val="00C5294D"/>
    <w:rsid w:val="00C52D7C"/>
    <w:rsid w:val="00C52FD2"/>
    <w:rsid w:val="00C554AA"/>
    <w:rsid w:val="00C572E1"/>
    <w:rsid w:val="00C611DF"/>
    <w:rsid w:val="00C61C68"/>
    <w:rsid w:val="00C62DA1"/>
    <w:rsid w:val="00C6361B"/>
    <w:rsid w:val="00C64334"/>
    <w:rsid w:val="00C653B6"/>
    <w:rsid w:val="00C6627B"/>
    <w:rsid w:val="00C70C08"/>
    <w:rsid w:val="00C70EF6"/>
    <w:rsid w:val="00C726F2"/>
    <w:rsid w:val="00C72CF5"/>
    <w:rsid w:val="00C735A6"/>
    <w:rsid w:val="00C75D18"/>
    <w:rsid w:val="00C819DD"/>
    <w:rsid w:val="00C83B61"/>
    <w:rsid w:val="00C83E3A"/>
    <w:rsid w:val="00C842BB"/>
    <w:rsid w:val="00C8533F"/>
    <w:rsid w:val="00C86055"/>
    <w:rsid w:val="00C86A17"/>
    <w:rsid w:val="00C918D6"/>
    <w:rsid w:val="00C939F2"/>
    <w:rsid w:val="00C94F2C"/>
    <w:rsid w:val="00C95104"/>
    <w:rsid w:val="00C957DD"/>
    <w:rsid w:val="00C962D0"/>
    <w:rsid w:val="00C964F9"/>
    <w:rsid w:val="00C97C35"/>
    <w:rsid w:val="00CA0B79"/>
    <w:rsid w:val="00CA0CB0"/>
    <w:rsid w:val="00CA0D32"/>
    <w:rsid w:val="00CA1E18"/>
    <w:rsid w:val="00CA33D5"/>
    <w:rsid w:val="00CA34A9"/>
    <w:rsid w:val="00CA3F8A"/>
    <w:rsid w:val="00CA420D"/>
    <w:rsid w:val="00CA4D86"/>
    <w:rsid w:val="00CA588E"/>
    <w:rsid w:val="00CA6105"/>
    <w:rsid w:val="00CA7720"/>
    <w:rsid w:val="00CB0B42"/>
    <w:rsid w:val="00CB16ED"/>
    <w:rsid w:val="00CB1DFD"/>
    <w:rsid w:val="00CB31C1"/>
    <w:rsid w:val="00CB33C7"/>
    <w:rsid w:val="00CB54A8"/>
    <w:rsid w:val="00CB5B70"/>
    <w:rsid w:val="00CC0019"/>
    <w:rsid w:val="00CC32EB"/>
    <w:rsid w:val="00CC5AB9"/>
    <w:rsid w:val="00CC5D14"/>
    <w:rsid w:val="00CC7176"/>
    <w:rsid w:val="00CD033B"/>
    <w:rsid w:val="00CD09FE"/>
    <w:rsid w:val="00CD44C5"/>
    <w:rsid w:val="00CD48C9"/>
    <w:rsid w:val="00CD6764"/>
    <w:rsid w:val="00CD6905"/>
    <w:rsid w:val="00CE1BEC"/>
    <w:rsid w:val="00CE2B3D"/>
    <w:rsid w:val="00CE2E8F"/>
    <w:rsid w:val="00CE34AF"/>
    <w:rsid w:val="00CE4397"/>
    <w:rsid w:val="00CE5D17"/>
    <w:rsid w:val="00CE7030"/>
    <w:rsid w:val="00CF5A36"/>
    <w:rsid w:val="00CF7EB4"/>
    <w:rsid w:val="00D00BC3"/>
    <w:rsid w:val="00D0288A"/>
    <w:rsid w:val="00D03531"/>
    <w:rsid w:val="00D03F36"/>
    <w:rsid w:val="00D04837"/>
    <w:rsid w:val="00D04C8D"/>
    <w:rsid w:val="00D06921"/>
    <w:rsid w:val="00D076B5"/>
    <w:rsid w:val="00D07799"/>
    <w:rsid w:val="00D07C06"/>
    <w:rsid w:val="00D10343"/>
    <w:rsid w:val="00D12541"/>
    <w:rsid w:val="00D12CFF"/>
    <w:rsid w:val="00D14B4E"/>
    <w:rsid w:val="00D177F8"/>
    <w:rsid w:val="00D20194"/>
    <w:rsid w:val="00D20794"/>
    <w:rsid w:val="00D26769"/>
    <w:rsid w:val="00D26D37"/>
    <w:rsid w:val="00D27E3C"/>
    <w:rsid w:val="00D30478"/>
    <w:rsid w:val="00D3323D"/>
    <w:rsid w:val="00D335ED"/>
    <w:rsid w:val="00D3476C"/>
    <w:rsid w:val="00D355D7"/>
    <w:rsid w:val="00D357AB"/>
    <w:rsid w:val="00D36206"/>
    <w:rsid w:val="00D36A62"/>
    <w:rsid w:val="00D36CC1"/>
    <w:rsid w:val="00D370A5"/>
    <w:rsid w:val="00D424DD"/>
    <w:rsid w:val="00D43220"/>
    <w:rsid w:val="00D450CB"/>
    <w:rsid w:val="00D50E53"/>
    <w:rsid w:val="00D51727"/>
    <w:rsid w:val="00D522A0"/>
    <w:rsid w:val="00D524CF"/>
    <w:rsid w:val="00D526A1"/>
    <w:rsid w:val="00D549B2"/>
    <w:rsid w:val="00D54CEC"/>
    <w:rsid w:val="00D56698"/>
    <w:rsid w:val="00D56984"/>
    <w:rsid w:val="00D56DAB"/>
    <w:rsid w:val="00D57414"/>
    <w:rsid w:val="00D62F56"/>
    <w:rsid w:val="00D63547"/>
    <w:rsid w:val="00D63588"/>
    <w:rsid w:val="00D6450F"/>
    <w:rsid w:val="00D65568"/>
    <w:rsid w:val="00D66154"/>
    <w:rsid w:val="00D71E32"/>
    <w:rsid w:val="00D73A1E"/>
    <w:rsid w:val="00D754A0"/>
    <w:rsid w:val="00D75F78"/>
    <w:rsid w:val="00D762B6"/>
    <w:rsid w:val="00D7686B"/>
    <w:rsid w:val="00D76BFD"/>
    <w:rsid w:val="00D81B13"/>
    <w:rsid w:val="00D8266B"/>
    <w:rsid w:val="00D84FE3"/>
    <w:rsid w:val="00D8547E"/>
    <w:rsid w:val="00D8580A"/>
    <w:rsid w:val="00D87953"/>
    <w:rsid w:val="00D93290"/>
    <w:rsid w:val="00DA0829"/>
    <w:rsid w:val="00DA1499"/>
    <w:rsid w:val="00DA1E5F"/>
    <w:rsid w:val="00DA208D"/>
    <w:rsid w:val="00DA31E0"/>
    <w:rsid w:val="00DB02DF"/>
    <w:rsid w:val="00DB0C30"/>
    <w:rsid w:val="00DB1267"/>
    <w:rsid w:val="00DB2204"/>
    <w:rsid w:val="00DB2E7E"/>
    <w:rsid w:val="00DB414E"/>
    <w:rsid w:val="00DB4BD9"/>
    <w:rsid w:val="00DC039E"/>
    <w:rsid w:val="00DC1511"/>
    <w:rsid w:val="00DC330A"/>
    <w:rsid w:val="00DC4A50"/>
    <w:rsid w:val="00DC6945"/>
    <w:rsid w:val="00DC76A1"/>
    <w:rsid w:val="00DD07E5"/>
    <w:rsid w:val="00DD17E9"/>
    <w:rsid w:val="00DD46E8"/>
    <w:rsid w:val="00DD4E12"/>
    <w:rsid w:val="00DD67D2"/>
    <w:rsid w:val="00DE0840"/>
    <w:rsid w:val="00DE28B8"/>
    <w:rsid w:val="00DE43AA"/>
    <w:rsid w:val="00DF0DB3"/>
    <w:rsid w:val="00DF1675"/>
    <w:rsid w:val="00DF48BE"/>
    <w:rsid w:val="00DF6615"/>
    <w:rsid w:val="00DF6755"/>
    <w:rsid w:val="00DF69A8"/>
    <w:rsid w:val="00DF7070"/>
    <w:rsid w:val="00DF7C48"/>
    <w:rsid w:val="00E011C7"/>
    <w:rsid w:val="00E01B52"/>
    <w:rsid w:val="00E02D2C"/>
    <w:rsid w:val="00E030EB"/>
    <w:rsid w:val="00E03D2C"/>
    <w:rsid w:val="00E04D38"/>
    <w:rsid w:val="00E0522B"/>
    <w:rsid w:val="00E07FBD"/>
    <w:rsid w:val="00E11E4B"/>
    <w:rsid w:val="00E12794"/>
    <w:rsid w:val="00E14729"/>
    <w:rsid w:val="00E160F7"/>
    <w:rsid w:val="00E170C8"/>
    <w:rsid w:val="00E17BAF"/>
    <w:rsid w:val="00E202ED"/>
    <w:rsid w:val="00E220C0"/>
    <w:rsid w:val="00E2276A"/>
    <w:rsid w:val="00E23E00"/>
    <w:rsid w:val="00E2527F"/>
    <w:rsid w:val="00E25595"/>
    <w:rsid w:val="00E301AA"/>
    <w:rsid w:val="00E30607"/>
    <w:rsid w:val="00E31AFE"/>
    <w:rsid w:val="00E32F59"/>
    <w:rsid w:val="00E341B7"/>
    <w:rsid w:val="00E3473B"/>
    <w:rsid w:val="00E35542"/>
    <w:rsid w:val="00E35B0C"/>
    <w:rsid w:val="00E366E4"/>
    <w:rsid w:val="00E36F9F"/>
    <w:rsid w:val="00E41635"/>
    <w:rsid w:val="00E44A1D"/>
    <w:rsid w:val="00E44A67"/>
    <w:rsid w:val="00E455D4"/>
    <w:rsid w:val="00E460A4"/>
    <w:rsid w:val="00E52C38"/>
    <w:rsid w:val="00E55439"/>
    <w:rsid w:val="00E55920"/>
    <w:rsid w:val="00E5598E"/>
    <w:rsid w:val="00E56B7D"/>
    <w:rsid w:val="00E603D0"/>
    <w:rsid w:val="00E629EC"/>
    <w:rsid w:val="00E64294"/>
    <w:rsid w:val="00E665C1"/>
    <w:rsid w:val="00E70002"/>
    <w:rsid w:val="00E71A15"/>
    <w:rsid w:val="00E76155"/>
    <w:rsid w:val="00E77F5E"/>
    <w:rsid w:val="00E804B3"/>
    <w:rsid w:val="00E80DE3"/>
    <w:rsid w:val="00E81772"/>
    <w:rsid w:val="00E81F75"/>
    <w:rsid w:val="00E837C2"/>
    <w:rsid w:val="00E837E7"/>
    <w:rsid w:val="00E841A4"/>
    <w:rsid w:val="00E84774"/>
    <w:rsid w:val="00E85D9C"/>
    <w:rsid w:val="00E85DCC"/>
    <w:rsid w:val="00E91129"/>
    <w:rsid w:val="00E9137B"/>
    <w:rsid w:val="00E939BB"/>
    <w:rsid w:val="00E94514"/>
    <w:rsid w:val="00E94FC9"/>
    <w:rsid w:val="00E95DE8"/>
    <w:rsid w:val="00E9780F"/>
    <w:rsid w:val="00EA0446"/>
    <w:rsid w:val="00EA04A8"/>
    <w:rsid w:val="00EA04FE"/>
    <w:rsid w:val="00EA2AB6"/>
    <w:rsid w:val="00EA2B47"/>
    <w:rsid w:val="00EA7400"/>
    <w:rsid w:val="00EB4156"/>
    <w:rsid w:val="00EB6D2F"/>
    <w:rsid w:val="00EB7320"/>
    <w:rsid w:val="00EB7DF2"/>
    <w:rsid w:val="00EB7FEE"/>
    <w:rsid w:val="00EC054E"/>
    <w:rsid w:val="00EC1627"/>
    <w:rsid w:val="00EC16E1"/>
    <w:rsid w:val="00EC1819"/>
    <w:rsid w:val="00EC732B"/>
    <w:rsid w:val="00ED08DF"/>
    <w:rsid w:val="00ED0BE8"/>
    <w:rsid w:val="00ED108A"/>
    <w:rsid w:val="00ED1400"/>
    <w:rsid w:val="00ED494C"/>
    <w:rsid w:val="00ED4C6C"/>
    <w:rsid w:val="00ED5F8D"/>
    <w:rsid w:val="00EE2CB0"/>
    <w:rsid w:val="00EE35CB"/>
    <w:rsid w:val="00EE480A"/>
    <w:rsid w:val="00EE7AB7"/>
    <w:rsid w:val="00EF15FA"/>
    <w:rsid w:val="00EF18FC"/>
    <w:rsid w:val="00EF21B7"/>
    <w:rsid w:val="00EF36C9"/>
    <w:rsid w:val="00EF3C75"/>
    <w:rsid w:val="00EF4211"/>
    <w:rsid w:val="00EF4794"/>
    <w:rsid w:val="00EF6B8F"/>
    <w:rsid w:val="00F00B7E"/>
    <w:rsid w:val="00F018D9"/>
    <w:rsid w:val="00F0558D"/>
    <w:rsid w:val="00F11030"/>
    <w:rsid w:val="00F12D76"/>
    <w:rsid w:val="00F14338"/>
    <w:rsid w:val="00F144A7"/>
    <w:rsid w:val="00F2035F"/>
    <w:rsid w:val="00F21638"/>
    <w:rsid w:val="00F23529"/>
    <w:rsid w:val="00F25C90"/>
    <w:rsid w:val="00F25DD8"/>
    <w:rsid w:val="00F25E85"/>
    <w:rsid w:val="00F26047"/>
    <w:rsid w:val="00F2713A"/>
    <w:rsid w:val="00F27BD8"/>
    <w:rsid w:val="00F302D9"/>
    <w:rsid w:val="00F30D73"/>
    <w:rsid w:val="00F31FA5"/>
    <w:rsid w:val="00F32BF3"/>
    <w:rsid w:val="00F33918"/>
    <w:rsid w:val="00F34B5A"/>
    <w:rsid w:val="00F35763"/>
    <w:rsid w:val="00F35974"/>
    <w:rsid w:val="00F3605B"/>
    <w:rsid w:val="00F370BC"/>
    <w:rsid w:val="00F37B58"/>
    <w:rsid w:val="00F40A7E"/>
    <w:rsid w:val="00F43297"/>
    <w:rsid w:val="00F45B17"/>
    <w:rsid w:val="00F4698A"/>
    <w:rsid w:val="00F479D8"/>
    <w:rsid w:val="00F549AE"/>
    <w:rsid w:val="00F55E2D"/>
    <w:rsid w:val="00F6117D"/>
    <w:rsid w:val="00F61365"/>
    <w:rsid w:val="00F623B9"/>
    <w:rsid w:val="00F63A24"/>
    <w:rsid w:val="00F63CF2"/>
    <w:rsid w:val="00F642F8"/>
    <w:rsid w:val="00F65C03"/>
    <w:rsid w:val="00F66C8B"/>
    <w:rsid w:val="00F703CD"/>
    <w:rsid w:val="00F71A63"/>
    <w:rsid w:val="00F72A02"/>
    <w:rsid w:val="00F73348"/>
    <w:rsid w:val="00F734C8"/>
    <w:rsid w:val="00F73537"/>
    <w:rsid w:val="00F73E10"/>
    <w:rsid w:val="00F7411A"/>
    <w:rsid w:val="00F76A02"/>
    <w:rsid w:val="00F77044"/>
    <w:rsid w:val="00F77754"/>
    <w:rsid w:val="00F778E7"/>
    <w:rsid w:val="00F77909"/>
    <w:rsid w:val="00F8214D"/>
    <w:rsid w:val="00F82764"/>
    <w:rsid w:val="00F828C0"/>
    <w:rsid w:val="00F82CD1"/>
    <w:rsid w:val="00F853A3"/>
    <w:rsid w:val="00F9160A"/>
    <w:rsid w:val="00F9290F"/>
    <w:rsid w:val="00F94108"/>
    <w:rsid w:val="00F95F35"/>
    <w:rsid w:val="00FA06A9"/>
    <w:rsid w:val="00FA1A4B"/>
    <w:rsid w:val="00FA2ACD"/>
    <w:rsid w:val="00FB17D6"/>
    <w:rsid w:val="00FB27B3"/>
    <w:rsid w:val="00FB33A7"/>
    <w:rsid w:val="00FB35F7"/>
    <w:rsid w:val="00FB53E8"/>
    <w:rsid w:val="00FB63CD"/>
    <w:rsid w:val="00FB6D3A"/>
    <w:rsid w:val="00FB754F"/>
    <w:rsid w:val="00FC050F"/>
    <w:rsid w:val="00FC5358"/>
    <w:rsid w:val="00FD04A8"/>
    <w:rsid w:val="00FD0841"/>
    <w:rsid w:val="00FD2326"/>
    <w:rsid w:val="00FD46AD"/>
    <w:rsid w:val="00FD5782"/>
    <w:rsid w:val="00FD758D"/>
    <w:rsid w:val="00FD7E2C"/>
    <w:rsid w:val="00FE18F5"/>
    <w:rsid w:val="00FE2445"/>
    <w:rsid w:val="00FE2597"/>
    <w:rsid w:val="00FE2782"/>
    <w:rsid w:val="00FE3E28"/>
    <w:rsid w:val="00FE5516"/>
    <w:rsid w:val="00FE5DEA"/>
    <w:rsid w:val="00FE7EED"/>
    <w:rsid w:val="00FF0E88"/>
    <w:rsid w:val="00FF5EEA"/>
    <w:rsid w:val="00FF6743"/>
    <w:rsid w:val="00FF6CE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A345F"/>
  <w15:docId w15:val="{C5DC25BF-E755-45A9-A7CA-846FF9F1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link w:val="H23GChar"/>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Texto de nota al pie,Appel note de bas de page,Fn Ref,Odwołanie przypisu,Footnote symbol,Footnote Reference Number,Footnote Reference Superscript,Footnote Reference/,richiamo note eggsi,Rimando nota a piè di pagina1,BVI fnr,10 pt"/>
    <w:basedOn w:val="DefaultParagraphFont"/>
    <w:link w:val="FootnoteReferneceCharChar1Char"/>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 Text Char Char Char Char Char,Footnote Text Char Char Char Char,Footnote reference,FA Fu,Footnote Text Char Char Char,Tekst przypisu,Schriftart: 9 pt,Schriftart: 10 pt,Schriftart: 8 pt,WB-Fußnotentext,Footnote,Fußnote,o,f,ft"/>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Tekst przypisu Char,Schriftart: 9 pt Char,Schriftart: 10 pt Char,o Char"/>
    <w:basedOn w:val="DefaultParagraphFont"/>
    <w:link w:val="FootnoteText"/>
    <w:uiPriority w:val="99"/>
    <w:qForma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locked/>
    <w:rsid w:val="00CA0B79"/>
    <w:rPr>
      <w:rFonts w:ascii="Times New Roman" w:hAnsi="Times New Roman" w:cs="Times New Roman"/>
      <w:b/>
      <w:sz w:val="20"/>
      <w:szCs w:val="20"/>
      <w:lang w:val="en-GB"/>
    </w:rPr>
  </w:style>
  <w:style w:type="character" w:customStyle="1" w:styleId="H1GChar">
    <w:name w:val="_ H_1_G Char"/>
    <w:link w:val="H1G"/>
    <w:locked/>
    <w:rsid w:val="00CA0B79"/>
    <w:rPr>
      <w:rFonts w:ascii="Times New Roman" w:hAnsi="Times New Roman" w:cs="Times New Roman"/>
      <w:b/>
      <w:sz w:val="24"/>
      <w:szCs w:val="20"/>
      <w:lang w:val="en-GB"/>
    </w:rPr>
  </w:style>
  <w:style w:type="character" w:styleId="CommentReference">
    <w:name w:val="annotation reference"/>
    <w:uiPriority w:val="99"/>
    <w:semiHidden/>
    <w:rsid w:val="00CA0B79"/>
    <w:rPr>
      <w:sz w:val="16"/>
      <w:szCs w:val="16"/>
    </w:rPr>
  </w:style>
  <w:style w:type="paragraph" w:styleId="CommentText">
    <w:name w:val="annotation text"/>
    <w:basedOn w:val="Normal"/>
    <w:link w:val="CommentTextChar"/>
    <w:uiPriority w:val="99"/>
    <w:semiHidden/>
    <w:rsid w:val="00CA0B79"/>
  </w:style>
  <w:style w:type="character" w:customStyle="1" w:styleId="CommentTextChar">
    <w:name w:val="Comment Text Char"/>
    <w:basedOn w:val="DefaultParagraphFont"/>
    <w:link w:val="CommentText"/>
    <w:uiPriority w:val="99"/>
    <w:semiHidden/>
    <w:rsid w:val="00CA0B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CA0B79"/>
    <w:rPr>
      <w:b/>
      <w:bCs/>
    </w:rPr>
  </w:style>
  <w:style w:type="character" w:customStyle="1" w:styleId="CommentSubjectChar">
    <w:name w:val="Comment Subject Char"/>
    <w:basedOn w:val="CommentTextChar"/>
    <w:link w:val="CommentSubject"/>
    <w:uiPriority w:val="99"/>
    <w:semiHidden/>
    <w:rsid w:val="00CA0B79"/>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CA0B79"/>
    <w:pPr>
      <w:suppressAutoHyphens w:val="0"/>
      <w:spacing w:line="276" w:lineRule="auto"/>
      <w:ind w:left="720"/>
      <w:contextualSpacing/>
    </w:pPr>
    <w:rPr>
      <w:rFonts w:ascii="Arial" w:eastAsia="Arial" w:hAnsi="Arial" w:cs="Arial"/>
      <w:sz w:val="22"/>
      <w:szCs w:val="22"/>
      <w:lang w:val="es" w:eastAsia="es-ES"/>
    </w:rPr>
  </w:style>
  <w:style w:type="paragraph" w:customStyle="1" w:styleId="FootnoteReferneceCharChar1Char">
    <w:name w:val="Footnote Refernece Char Char1 Char"/>
    <w:aliases w:val="Footnote Reference Superscript Char Char1 Char,Footnote Refernece Char Char Char Char Char,Footnote Reference Superscript Char Char Char Char Char,Footnote Reference Number Char Char Char Char Char"/>
    <w:basedOn w:val="Normal"/>
    <w:link w:val="FootnoteReference"/>
    <w:uiPriority w:val="99"/>
    <w:rsid w:val="00CA0B79"/>
    <w:pPr>
      <w:suppressAutoHyphens w:val="0"/>
      <w:spacing w:line="240" w:lineRule="auto"/>
      <w:jc w:val="both"/>
    </w:pPr>
    <w:rPr>
      <w:rFonts w:eastAsiaTheme="minorHAnsi" w:cstheme="minorBidi"/>
      <w:sz w:val="18"/>
      <w:szCs w:val="22"/>
      <w:vertAlign w:val="superscript"/>
    </w:rPr>
  </w:style>
  <w:style w:type="paragraph" w:customStyle="1" w:styleId="Default">
    <w:name w:val="Default"/>
    <w:rsid w:val="00CA0B7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Normal1">
    <w:name w:val="Normal1"/>
    <w:rsid w:val="00CA0B79"/>
    <w:pPr>
      <w:spacing w:after="0"/>
    </w:pPr>
    <w:rPr>
      <w:rFonts w:ascii="Arial" w:eastAsia="Arial" w:hAnsi="Arial" w:cs="Arial"/>
      <w:lang w:val="lt-LT" w:eastAsia="hu-HU"/>
    </w:rPr>
  </w:style>
  <w:style w:type="paragraph" w:customStyle="1" w:styleId="Norml1">
    <w:name w:val="Normál1"/>
    <w:rsid w:val="00CA0B79"/>
    <w:pPr>
      <w:widowControl w:val="0"/>
      <w:spacing w:after="0"/>
    </w:pPr>
    <w:rPr>
      <w:rFonts w:ascii="Arial" w:eastAsia="Arial" w:hAnsi="Arial" w:cs="Arial"/>
      <w:color w:val="000000"/>
      <w:lang w:val="hu-HU" w:eastAsia="hu-HU"/>
    </w:rPr>
  </w:style>
  <w:style w:type="paragraph" w:styleId="NormalWeb">
    <w:name w:val="Normal (Web)"/>
    <w:basedOn w:val="Normal"/>
    <w:uiPriority w:val="99"/>
    <w:unhideWhenUsed/>
    <w:rsid w:val="00CA0B79"/>
    <w:pPr>
      <w:suppressAutoHyphens w:val="0"/>
      <w:spacing w:before="100" w:beforeAutospacing="1" w:after="100" w:afterAutospacing="1" w:line="240" w:lineRule="auto"/>
    </w:pPr>
    <w:rPr>
      <w:sz w:val="24"/>
      <w:szCs w:val="24"/>
      <w:lang w:val="et-EE" w:eastAsia="et-EE"/>
    </w:rPr>
  </w:style>
  <w:style w:type="character" w:customStyle="1" w:styleId="fontstyle01">
    <w:name w:val="fontstyle01"/>
    <w:basedOn w:val="DefaultParagraphFont"/>
    <w:rsid w:val="00CA0B79"/>
    <w:rPr>
      <w:rFonts w:ascii="TimesNewRomanPSMT" w:hAnsi="TimesNewRomanPSMT" w:hint="default"/>
      <w:b w:val="0"/>
      <w:bCs w:val="0"/>
      <w:i w:val="0"/>
      <w:iCs w:val="0"/>
      <w:color w:val="000000"/>
      <w:sz w:val="24"/>
      <w:szCs w:val="24"/>
    </w:rPr>
  </w:style>
  <w:style w:type="paragraph" w:customStyle="1" w:styleId="FootnoteReferneceCarcter">
    <w:name w:val="Footnote Refernece Carácter"/>
    <w:aliases w:val="ftref Carácter,4_G Carácter"/>
    <w:basedOn w:val="Normal"/>
    <w:uiPriority w:val="99"/>
    <w:rsid w:val="00CA0B79"/>
    <w:pPr>
      <w:suppressAutoHyphens w:val="0"/>
      <w:spacing w:before="120" w:after="160" w:line="240" w:lineRule="exact"/>
      <w:jc w:val="both"/>
    </w:pPr>
    <w:rPr>
      <w:rFonts w:eastAsiaTheme="minorHAnsi" w:cstheme="minorBidi"/>
      <w:sz w:val="18"/>
      <w:szCs w:val="22"/>
      <w:vertAlign w:val="superscript"/>
      <w:lang w:val="et-EE"/>
    </w:rPr>
  </w:style>
  <w:style w:type="character" w:styleId="Emphasis">
    <w:name w:val="Emphasis"/>
    <w:basedOn w:val="DefaultParagraphFont"/>
    <w:uiPriority w:val="20"/>
    <w:qFormat/>
    <w:rsid w:val="009D6A3B"/>
    <w:rPr>
      <w:i/>
      <w:iCs/>
    </w:rPr>
  </w:style>
  <w:style w:type="paragraph" w:styleId="Revision">
    <w:name w:val="Revision"/>
    <w:hidden/>
    <w:uiPriority w:val="99"/>
    <w:semiHidden/>
    <w:rsid w:val="00001F66"/>
    <w:pPr>
      <w:spacing w:after="0" w:line="240" w:lineRule="auto"/>
    </w:pPr>
    <w:rPr>
      <w:rFonts w:ascii="Times New Roman" w:eastAsia="Times New Roman" w:hAnsi="Times New Roman" w:cs="Times New Roman"/>
      <w:sz w:val="20"/>
      <w:szCs w:val="20"/>
      <w:lang w:val="en-GB"/>
    </w:rPr>
  </w:style>
  <w:style w:type="paragraph" w:styleId="BodyText">
    <w:name w:val="Body Text"/>
    <w:basedOn w:val="Normal"/>
    <w:link w:val="BodyTextChar"/>
    <w:uiPriority w:val="1"/>
    <w:semiHidden/>
    <w:unhideWhenUsed/>
    <w:qFormat/>
    <w:rsid w:val="009F4CD1"/>
    <w:pPr>
      <w:widowControl w:val="0"/>
      <w:suppressAutoHyphens w:val="0"/>
      <w:autoSpaceDE w:val="0"/>
      <w:autoSpaceDN w:val="0"/>
      <w:adjustRightInd w:val="0"/>
      <w:spacing w:line="240" w:lineRule="auto"/>
    </w:pPr>
    <w:rPr>
      <w:rFonts w:ascii="Arial" w:hAnsi="Arial" w:cs="Arial"/>
      <w:color w:val="000000"/>
      <w:sz w:val="22"/>
      <w:szCs w:val="22"/>
      <w:lang w:eastAsia="en-GB"/>
    </w:rPr>
  </w:style>
  <w:style w:type="character" w:customStyle="1" w:styleId="BodyTextChar">
    <w:name w:val="Body Text Char"/>
    <w:basedOn w:val="DefaultParagraphFont"/>
    <w:link w:val="BodyText"/>
    <w:uiPriority w:val="1"/>
    <w:semiHidden/>
    <w:rsid w:val="009F4CD1"/>
    <w:rPr>
      <w:rFonts w:ascii="Arial" w:eastAsia="Times New Roman" w:hAnsi="Arial" w:cs="Arial"/>
      <w:color w:val="000000"/>
      <w:lang w:val="en-GB"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uiPriority w:val="99"/>
    <w:rsid w:val="00960F0F"/>
    <w:pPr>
      <w:suppressAutoHyphens w:val="0"/>
      <w:spacing w:after="160" w:line="240" w:lineRule="exact"/>
    </w:pPr>
    <w:rPr>
      <w:rFonts w:eastAsiaTheme="minorHAnsi" w:cstheme="minorBidi"/>
      <w:sz w:val="18"/>
      <w:szCs w:val="22"/>
      <w:vertAlign w:val="superscript"/>
    </w:rPr>
  </w:style>
  <w:style w:type="paragraph" w:customStyle="1" w:styleId="ParaNoG">
    <w:name w:val="_ParaNo._G"/>
    <w:basedOn w:val="SingleTxtG"/>
    <w:rsid w:val="00240836"/>
    <w:pPr>
      <w:numPr>
        <w:numId w:val="29"/>
      </w:numPr>
      <w:tabs>
        <w:tab w:val="left" w:pos="1701"/>
        <w:tab w:val="left" w:pos="2268"/>
      </w:tabs>
      <w:kinsoku/>
      <w:overflowPunct/>
      <w:autoSpaceDE/>
      <w:autoSpaceDN/>
      <w:adjustRightInd/>
      <w:snapToGrid/>
    </w:pPr>
    <w:rPr>
      <w:rFonts w:eastAsia="SimSun"/>
      <w:lang w:eastAsia="zh-CN"/>
    </w:rPr>
  </w:style>
  <w:style w:type="numbering" w:customStyle="1" w:styleId="1111111">
    <w:name w:val="1 / 1.1 / 1.1.11"/>
    <w:basedOn w:val="NoList"/>
    <w:next w:val="111111"/>
    <w:semiHidden/>
    <w:rsid w:val="00240836"/>
    <w:pPr>
      <w:numPr>
        <w:numId w:val="31"/>
      </w:numPr>
    </w:pPr>
  </w:style>
  <w:style w:type="character" w:styleId="BookTitle">
    <w:name w:val="Book Title"/>
    <w:basedOn w:val="DefaultParagraphFont"/>
    <w:uiPriority w:val="33"/>
    <w:semiHidden/>
    <w:rsid w:val="00240836"/>
    <w:rPr>
      <w:b/>
      <w:bCs/>
      <w:smallCaps/>
      <w:spacing w:val="5"/>
    </w:rPr>
  </w:style>
  <w:style w:type="table" w:customStyle="1" w:styleId="TableGrid2">
    <w:name w:val="Table Grid2"/>
    <w:basedOn w:val="TableNormal"/>
    <w:next w:val="TableGrid"/>
    <w:rsid w:val="00240836"/>
    <w:pPr>
      <w:suppressAutoHyphens/>
      <w:spacing w:after="0" w:line="240" w:lineRule="atLeast"/>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rsid w:val="00F73537"/>
    <w:pPr>
      <w:suppressAutoHyphens w:val="0"/>
      <w:spacing w:after="160" w:line="240" w:lineRule="exact"/>
    </w:pPr>
    <w:rPr>
      <w:rFonts w:asciiTheme="minorHAnsi" w:eastAsiaTheme="minorHAnsi" w:hAnsiTheme="minorHAnsi" w:cstheme="minorBidi"/>
      <w:sz w:val="22"/>
      <w:szCs w:val="22"/>
      <w:vertAlign w:val="superscript"/>
      <w:lang w:val="en-US"/>
    </w:rPr>
  </w:style>
  <w:style w:type="character" w:customStyle="1" w:styleId="gmail-markedcontent">
    <w:name w:val="gmail-markedcontent"/>
    <w:basedOn w:val="DefaultParagraphFont"/>
    <w:rsid w:val="00397C21"/>
  </w:style>
  <w:style w:type="character" w:customStyle="1" w:styleId="UnresolvedMention1">
    <w:name w:val="Unresolved Mention1"/>
    <w:basedOn w:val="DefaultParagraphFont"/>
    <w:uiPriority w:val="99"/>
    <w:semiHidden/>
    <w:unhideWhenUsed/>
    <w:rsid w:val="00D34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027">
      <w:bodyDiv w:val="1"/>
      <w:marLeft w:val="0"/>
      <w:marRight w:val="0"/>
      <w:marTop w:val="0"/>
      <w:marBottom w:val="0"/>
      <w:divBdr>
        <w:top w:val="none" w:sz="0" w:space="0" w:color="auto"/>
        <w:left w:val="none" w:sz="0" w:space="0" w:color="auto"/>
        <w:bottom w:val="none" w:sz="0" w:space="0" w:color="auto"/>
        <w:right w:val="none" w:sz="0" w:space="0" w:color="auto"/>
      </w:divBdr>
    </w:div>
    <w:div w:id="109590082">
      <w:bodyDiv w:val="1"/>
      <w:marLeft w:val="0"/>
      <w:marRight w:val="0"/>
      <w:marTop w:val="0"/>
      <w:marBottom w:val="0"/>
      <w:divBdr>
        <w:top w:val="none" w:sz="0" w:space="0" w:color="auto"/>
        <w:left w:val="none" w:sz="0" w:space="0" w:color="auto"/>
        <w:bottom w:val="none" w:sz="0" w:space="0" w:color="auto"/>
        <w:right w:val="none" w:sz="0" w:space="0" w:color="auto"/>
      </w:divBdr>
    </w:div>
    <w:div w:id="201015345">
      <w:bodyDiv w:val="1"/>
      <w:marLeft w:val="0"/>
      <w:marRight w:val="0"/>
      <w:marTop w:val="0"/>
      <w:marBottom w:val="0"/>
      <w:divBdr>
        <w:top w:val="none" w:sz="0" w:space="0" w:color="auto"/>
        <w:left w:val="none" w:sz="0" w:space="0" w:color="auto"/>
        <w:bottom w:val="none" w:sz="0" w:space="0" w:color="auto"/>
        <w:right w:val="none" w:sz="0" w:space="0" w:color="auto"/>
      </w:divBdr>
    </w:div>
    <w:div w:id="256140403">
      <w:bodyDiv w:val="1"/>
      <w:marLeft w:val="0"/>
      <w:marRight w:val="0"/>
      <w:marTop w:val="0"/>
      <w:marBottom w:val="0"/>
      <w:divBdr>
        <w:top w:val="none" w:sz="0" w:space="0" w:color="auto"/>
        <w:left w:val="none" w:sz="0" w:space="0" w:color="auto"/>
        <w:bottom w:val="none" w:sz="0" w:space="0" w:color="auto"/>
        <w:right w:val="none" w:sz="0" w:space="0" w:color="auto"/>
      </w:divBdr>
    </w:div>
    <w:div w:id="413475138">
      <w:bodyDiv w:val="1"/>
      <w:marLeft w:val="0"/>
      <w:marRight w:val="0"/>
      <w:marTop w:val="0"/>
      <w:marBottom w:val="0"/>
      <w:divBdr>
        <w:top w:val="none" w:sz="0" w:space="0" w:color="auto"/>
        <w:left w:val="none" w:sz="0" w:space="0" w:color="auto"/>
        <w:bottom w:val="none" w:sz="0" w:space="0" w:color="auto"/>
        <w:right w:val="none" w:sz="0" w:space="0" w:color="auto"/>
      </w:divBdr>
    </w:div>
    <w:div w:id="475681612">
      <w:bodyDiv w:val="1"/>
      <w:marLeft w:val="0"/>
      <w:marRight w:val="0"/>
      <w:marTop w:val="0"/>
      <w:marBottom w:val="0"/>
      <w:divBdr>
        <w:top w:val="none" w:sz="0" w:space="0" w:color="auto"/>
        <w:left w:val="none" w:sz="0" w:space="0" w:color="auto"/>
        <w:bottom w:val="none" w:sz="0" w:space="0" w:color="auto"/>
        <w:right w:val="none" w:sz="0" w:space="0" w:color="auto"/>
      </w:divBdr>
    </w:div>
    <w:div w:id="497578107">
      <w:bodyDiv w:val="1"/>
      <w:marLeft w:val="0"/>
      <w:marRight w:val="0"/>
      <w:marTop w:val="0"/>
      <w:marBottom w:val="0"/>
      <w:divBdr>
        <w:top w:val="none" w:sz="0" w:space="0" w:color="auto"/>
        <w:left w:val="none" w:sz="0" w:space="0" w:color="auto"/>
        <w:bottom w:val="none" w:sz="0" w:space="0" w:color="auto"/>
        <w:right w:val="none" w:sz="0" w:space="0" w:color="auto"/>
      </w:divBdr>
    </w:div>
    <w:div w:id="579020779">
      <w:bodyDiv w:val="1"/>
      <w:marLeft w:val="0"/>
      <w:marRight w:val="0"/>
      <w:marTop w:val="0"/>
      <w:marBottom w:val="0"/>
      <w:divBdr>
        <w:top w:val="none" w:sz="0" w:space="0" w:color="auto"/>
        <w:left w:val="none" w:sz="0" w:space="0" w:color="auto"/>
        <w:bottom w:val="none" w:sz="0" w:space="0" w:color="auto"/>
        <w:right w:val="none" w:sz="0" w:space="0" w:color="auto"/>
      </w:divBdr>
    </w:div>
    <w:div w:id="626812382">
      <w:bodyDiv w:val="1"/>
      <w:marLeft w:val="0"/>
      <w:marRight w:val="0"/>
      <w:marTop w:val="0"/>
      <w:marBottom w:val="0"/>
      <w:divBdr>
        <w:top w:val="none" w:sz="0" w:space="0" w:color="auto"/>
        <w:left w:val="none" w:sz="0" w:space="0" w:color="auto"/>
        <w:bottom w:val="none" w:sz="0" w:space="0" w:color="auto"/>
        <w:right w:val="none" w:sz="0" w:space="0" w:color="auto"/>
      </w:divBdr>
    </w:div>
    <w:div w:id="646907976">
      <w:bodyDiv w:val="1"/>
      <w:marLeft w:val="0"/>
      <w:marRight w:val="0"/>
      <w:marTop w:val="0"/>
      <w:marBottom w:val="0"/>
      <w:divBdr>
        <w:top w:val="none" w:sz="0" w:space="0" w:color="auto"/>
        <w:left w:val="none" w:sz="0" w:space="0" w:color="auto"/>
        <w:bottom w:val="none" w:sz="0" w:space="0" w:color="auto"/>
        <w:right w:val="none" w:sz="0" w:space="0" w:color="auto"/>
      </w:divBdr>
    </w:div>
    <w:div w:id="661392009">
      <w:bodyDiv w:val="1"/>
      <w:marLeft w:val="0"/>
      <w:marRight w:val="0"/>
      <w:marTop w:val="0"/>
      <w:marBottom w:val="0"/>
      <w:divBdr>
        <w:top w:val="none" w:sz="0" w:space="0" w:color="auto"/>
        <w:left w:val="none" w:sz="0" w:space="0" w:color="auto"/>
        <w:bottom w:val="none" w:sz="0" w:space="0" w:color="auto"/>
        <w:right w:val="none" w:sz="0" w:space="0" w:color="auto"/>
      </w:divBdr>
    </w:div>
    <w:div w:id="748189645">
      <w:bodyDiv w:val="1"/>
      <w:marLeft w:val="0"/>
      <w:marRight w:val="0"/>
      <w:marTop w:val="0"/>
      <w:marBottom w:val="0"/>
      <w:divBdr>
        <w:top w:val="none" w:sz="0" w:space="0" w:color="auto"/>
        <w:left w:val="none" w:sz="0" w:space="0" w:color="auto"/>
        <w:bottom w:val="none" w:sz="0" w:space="0" w:color="auto"/>
        <w:right w:val="none" w:sz="0" w:space="0" w:color="auto"/>
      </w:divBdr>
    </w:div>
    <w:div w:id="871067736">
      <w:bodyDiv w:val="1"/>
      <w:marLeft w:val="0"/>
      <w:marRight w:val="0"/>
      <w:marTop w:val="0"/>
      <w:marBottom w:val="0"/>
      <w:divBdr>
        <w:top w:val="none" w:sz="0" w:space="0" w:color="auto"/>
        <w:left w:val="none" w:sz="0" w:space="0" w:color="auto"/>
        <w:bottom w:val="none" w:sz="0" w:space="0" w:color="auto"/>
        <w:right w:val="none" w:sz="0" w:space="0" w:color="auto"/>
      </w:divBdr>
    </w:div>
    <w:div w:id="1421828093">
      <w:bodyDiv w:val="1"/>
      <w:marLeft w:val="0"/>
      <w:marRight w:val="0"/>
      <w:marTop w:val="0"/>
      <w:marBottom w:val="0"/>
      <w:divBdr>
        <w:top w:val="none" w:sz="0" w:space="0" w:color="auto"/>
        <w:left w:val="none" w:sz="0" w:space="0" w:color="auto"/>
        <w:bottom w:val="none" w:sz="0" w:space="0" w:color="auto"/>
        <w:right w:val="none" w:sz="0" w:space="0" w:color="auto"/>
      </w:divBdr>
    </w:div>
    <w:div w:id="1443719070">
      <w:bodyDiv w:val="1"/>
      <w:marLeft w:val="0"/>
      <w:marRight w:val="0"/>
      <w:marTop w:val="0"/>
      <w:marBottom w:val="0"/>
      <w:divBdr>
        <w:top w:val="none" w:sz="0" w:space="0" w:color="auto"/>
        <w:left w:val="none" w:sz="0" w:space="0" w:color="auto"/>
        <w:bottom w:val="none" w:sz="0" w:space="0" w:color="auto"/>
        <w:right w:val="none" w:sz="0" w:space="0" w:color="auto"/>
      </w:divBdr>
    </w:div>
    <w:div w:id="1621915714">
      <w:bodyDiv w:val="1"/>
      <w:marLeft w:val="0"/>
      <w:marRight w:val="0"/>
      <w:marTop w:val="0"/>
      <w:marBottom w:val="0"/>
      <w:divBdr>
        <w:top w:val="none" w:sz="0" w:space="0" w:color="auto"/>
        <w:left w:val="none" w:sz="0" w:space="0" w:color="auto"/>
        <w:bottom w:val="none" w:sz="0" w:space="0" w:color="auto"/>
        <w:right w:val="none" w:sz="0" w:space="0" w:color="auto"/>
      </w:divBdr>
    </w:div>
    <w:div w:id="1731726886">
      <w:bodyDiv w:val="1"/>
      <w:marLeft w:val="0"/>
      <w:marRight w:val="0"/>
      <w:marTop w:val="0"/>
      <w:marBottom w:val="0"/>
      <w:divBdr>
        <w:top w:val="none" w:sz="0" w:space="0" w:color="auto"/>
        <w:left w:val="none" w:sz="0" w:space="0" w:color="auto"/>
        <w:bottom w:val="none" w:sz="0" w:space="0" w:color="auto"/>
        <w:right w:val="none" w:sz="0" w:space="0" w:color="auto"/>
      </w:divBdr>
    </w:div>
    <w:div w:id="1831364564">
      <w:bodyDiv w:val="1"/>
      <w:marLeft w:val="0"/>
      <w:marRight w:val="0"/>
      <w:marTop w:val="0"/>
      <w:marBottom w:val="0"/>
      <w:divBdr>
        <w:top w:val="none" w:sz="0" w:space="0" w:color="auto"/>
        <w:left w:val="none" w:sz="0" w:space="0" w:color="auto"/>
        <w:bottom w:val="none" w:sz="0" w:space="0" w:color="auto"/>
        <w:right w:val="none" w:sz="0" w:space="0" w:color="auto"/>
      </w:divBdr>
    </w:div>
    <w:div w:id="1940017640">
      <w:bodyDiv w:val="1"/>
      <w:marLeft w:val="0"/>
      <w:marRight w:val="0"/>
      <w:marTop w:val="0"/>
      <w:marBottom w:val="0"/>
      <w:divBdr>
        <w:top w:val="none" w:sz="0" w:space="0" w:color="auto"/>
        <w:left w:val="none" w:sz="0" w:space="0" w:color="auto"/>
        <w:bottom w:val="none" w:sz="0" w:space="0" w:color="auto"/>
        <w:right w:val="none" w:sz="0" w:space="0" w:color="auto"/>
      </w:divBdr>
    </w:div>
    <w:div w:id="1982691058">
      <w:bodyDiv w:val="1"/>
      <w:marLeft w:val="0"/>
      <w:marRight w:val="0"/>
      <w:marTop w:val="0"/>
      <w:marBottom w:val="0"/>
      <w:divBdr>
        <w:top w:val="none" w:sz="0" w:space="0" w:color="auto"/>
        <w:left w:val="none" w:sz="0" w:space="0" w:color="auto"/>
        <w:bottom w:val="none" w:sz="0" w:space="0" w:color="auto"/>
        <w:right w:val="none" w:sz="0" w:space="0" w:color="auto"/>
      </w:divBdr>
    </w:div>
    <w:div w:id="20030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tore.ohchr.org/SelfServices/FilesHandler.ashx?enc=6QkG1d%2fPPRiCAqhKb7yhsgkVjqUCiEeI%2bdQbbet6WG9rv2v19bytl9e041%2baf2j%2bKbYm41Dgyk0bkRyT3ZQ%2bAhSo6DvUuzqcPzcRSepnN9L8TtoY9TQI9AFoYV6x0n6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ipolis.iiep.unesco.org/sites/default/files/ressources/georgia_tvet_strategy_2013-2020.pdf"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CRPD/C/1/Rev.1" TargetMode="External"/><Relationship Id="rId2" Type="http://schemas.openxmlformats.org/officeDocument/2006/relationships/hyperlink" Target="https://tbinternet.ohchr.org/_layouts/15/treatybodyexternal/Download.aspx?symbolno=CRPD/C/5" TargetMode="External"/><Relationship Id="rId1" Type="http://schemas.openxmlformats.org/officeDocument/2006/relationships/hyperlink" Target="https://view.officeapps.live.com/op/view.aspx?src=https%3A%2F%2Fwww.ohchr.org%2Fsites%2Fdefault%2Ffiles%2FDocuments%2FHRBodies%2FCRPD%2FOpen_letter_Add_Prot_Ovi_Conv.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87EC-FC99-4DAA-B951-78D48F60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9816</Words>
  <Characters>55956</Characters>
  <Application>Microsoft Office Word</Application>
  <DocSecurity>4</DocSecurity>
  <Lines>466</Lines>
  <Paragraphs>131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CRPD/C/EST/CO/R.1</vt:lpstr>
      <vt:lpstr/>
      <vt:lpstr/>
    </vt:vector>
  </TitlesOfParts>
  <Company>DCM</Company>
  <LinksUpToDate>false</LinksUpToDate>
  <CharactersWithSpaces>65641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CRPD/C/EST/CO/R.1</dc:title>
  <dc:subject/>
  <dc:creator>Gloria</dc:creator>
  <cp:keywords/>
  <dc:description/>
  <cp:lastModifiedBy>Robert</cp:lastModifiedBy>
  <cp:revision>2</cp:revision>
  <cp:lastPrinted>2017-10-25T12:09:00Z</cp:lastPrinted>
  <dcterms:created xsi:type="dcterms:W3CDTF">2023-03-28T07:45:00Z</dcterms:created>
  <dcterms:modified xsi:type="dcterms:W3CDTF">2023-03-28T07:45:00Z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CRPD</vt:lpwstr>
  </property>
  <property fmtid="{D5CDD505-2E9C-101B-9397-08002B2CF9AE}" pid="7" name="count">
    <vt:lpwstr>Estonia</vt:lpwstr>
  </property>
  <property fmtid="{D5CDD505-2E9C-101B-9397-08002B2CF9AE}" pid="8" name="countw">
    <vt:lpwstr>Estonia</vt:lpwstr>
  </property>
  <property fmtid="{D5CDD505-2E9C-101B-9397-08002B2CF9AE}" pid="9" name="countwd">
    <vt:lpwstr>Estonia</vt:lpwstr>
  </property>
  <property fmtid="{D5CDD505-2E9C-101B-9397-08002B2CF9AE}" pid="10" name="date">
    <vt:lpwstr>4 February 2020</vt:lpwstr>
  </property>
  <property fmtid="{D5CDD505-2E9C-101B-9397-08002B2CF9AE}" pid="11" name="Date-Generated">
    <vt:filetime>2020-02-04T15:47:41Z</vt:filetime>
  </property>
  <property fmtid="{D5CDD505-2E9C-101B-9397-08002B2CF9AE}" pid="12" name="dist">
    <vt:lpwstr>Restricted</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Estonia</vt:lpwstr>
  </property>
  <property fmtid="{D5CDD505-2E9C-101B-9397-08002B2CF9AE}" pid="20" name="preps">
    <vt:lpwstr>initial report of Estonia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vt:lpwstr>
  </property>
  <property fmtid="{D5CDD505-2E9C-101B-9397-08002B2CF9AE}" pid="25" name="snum">
    <vt:lpwstr>[NUMBER]</vt:lpwstr>
  </property>
  <property fmtid="{D5CDD505-2E9C-101B-9397-08002B2CF9AE}" pid="26" name="stitle">
    <vt:lpwstr>[Title]</vt:lpwstr>
  </property>
  <property fmtid="{D5CDD505-2E9C-101B-9397-08002B2CF9AE}" pid="27" name="sym1">
    <vt:lpwstr>C/EST/CO/R.1</vt:lpwstr>
  </property>
  <property fmtid="{D5CDD505-2E9C-101B-9397-08002B2CF9AE}" pid="28" name="symh">
    <vt:lpwstr>CRPD/C/EST/CO/R.1</vt:lpwstr>
  </property>
  <property fmtid="{D5CDD505-2E9C-101B-9397-08002B2CF9AE}" pid="29" name="Title">
    <vt:lpwstr>CRPD/C/EST/CO/R.1</vt:lpwstr>
  </property>
  <property fmtid="{D5CDD505-2E9C-101B-9397-08002B2CF9AE}" pid="30" name="tlang">
    <vt:lpwstr/>
  </property>
  <property fmtid="{D5CDD505-2E9C-101B-9397-08002B2CF9AE}" pid="31" name="virs">
    <vt:lpwstr>English, Russian and Spanish only</vt:lpwstr>
  </property>
</Properties>
</file>